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B6912B" w14:textId="053B15C0" w:rsidR="00702C03" w:rsidRDefault="00C62170" w:rsidP="00461460">
      <w:pPr>
        <w:ind w:right="-8"/>
        <w:rPr>
          <w:rFonts w:cs="Arial"/>
          <w:szCs w:val="20"/>
        </w:rPr>
      </w:pPr>
      <w:r>
        <w:rPr>
          <w:rFonts w:cs="Arial"/>
          <w:szCs w:val="20"/>
        </w:rPr>
        <w:t xml:space="preserve">Independent Competition and Regulatory Commission </w:t>
      </w:r>
      <w:r w:rsidR="00B50635" w:rsidRPr="009903E4">
        <w:rPr>
          <w:rFonts w:cs="Arial"/>
          <w:szCs w:val="20"/>
        </w:rPr>
        <w:br/>
      </w:r>
      <w:r w:rsidR="0013030F">
        <w:rPr>
          <w:rFonts w:cs="Arial"/>
          <w:szCs w:val="20"/>
        </w:rPr>
        <w:t>GPO Box 158</w:t>
      </w:r>
      <w:r w:rsidR="00B50635" w:rsidRPr="009903E4">
        <w:rPr>
          <w:rFonts w:cs="Arial"/>
          <w:szCs w:val="20"/>
        </w:rPr>
        <w:br/>
      </w:r>
      <w:proofErr w:type="gramStart"/>
      <w:r w:rsidR="0013030F">
        <w:rPr>
          <w:rFonts w:cs="Arial"/>
          <w:szCs w:val="20"/>
        </w:rPr>
        <w:t>Canberra  ACT</w:t>
      </w:r>
      <w:proofErr w:type="gramEnd"/>
      <w:r w:rsidR="0013030F">
        <w:rPr>
          <w:rFonts w:cs="Arial"/>
          <w:szCs w:val="20"/>
        </w:rPr>
        <w:t xml:space="preserve">  2601</w:t>
      </w:r>
      <w:r w:rsidR="00702C03">
        <w:rPr>
          <w:rFonts w:cs="Arial"/>
          <w:szCs w:val="20"/>
        </w:rPr>
        <w:br/>
      </w:r>
      <w:hyperlink r:id="rId11" w:history="1">
        <w:r w:rsidR="00D75220" w:rsidRPr="00CA4DE5">
          <w:rPr>
            <w:rStyle w:val="Hyperlink"/>
          </w:rPr>
          <w:t>icrc@act.gov.au</w:t>
        </w:r>
      </w:hyperlink>
      <w:r w:rsidR="00D75220">
        <w:t xml:space="preserve"> </w:t>
      </w:r>
    </w:p>
    <w:p w14:paraId="5B84AE35" w14:textId="2D3062D3" w:rsidR="00B50635" w:rsidRPr="00023569" w:rsidRDefault="00B50635" w:rsidP="00B50635">
      <w:pPr>
        <w:rPr>
          <w:rFonts w:cs="Arial"/>
          <w:szCs w:val="20"/>
        </w:rPr>
      </w:pPr>
      <w:r w:rsidRPr="00023569">
        <w:rPr>
          <w:rFonts w:cs="Arial"/>
          <w:szCs w:val="20"/>
        </w:rPr>
        <w:fldChar w:fldCharType="begin"/>
      </w:r>
      <w:r w:rsidRPr="00023569">
        <w:rPr>
          <w:rFonts w:cs="Arial"/>
          <w:szCs w:val="20"/>
        </w:rPr>
        <w:instrText xml:space="preserve"> DATE \@ "d MMMM yyyy" </w:instrText>
      </w:r>
      <w:r w:rsidRPr="00023569">
        <w:rPr>
          <w:rFonts w:cs="Arial"/>
          <w:szCs w:val="20"/>
        </w:rPr>
        <w:fldChar w:fldCharType="separate"/>
      </w:r>
      <w:r w:rsidR="0099342B">
        <w:rPr>
          <w:rFonts w:cs="Arial"/>
          <w:noProof/>
          <w:szCs w:val="20"/>
        </w:rPr>
        <w:t>10 September 2026</w:t>
      </w:r>
      <w:r w:rsidRPr="00023569">
        <w:rPr>
          <w:rFonts w:cs="Arial"/>
          <w:szCs w:val="20"/>
        </w:rPr>
        <w:fldChar w:fldCharType="end"/>
      </w:r>
    </w:p>
    <w:p w14:paraId="0C1C1E8B" w14:textId="5DDE999F" w:rsidR="00B50635" w:rsidRPr="00023569" w:rsidRDefault="00B50635" w:rsidP="00B50635">
      <w:pPr>
        <w:rPr>
          <w:rFonts w:cs="Arial"/>
          <w:szCs w:val="20"/>
        </w:rPr>
      </w:pPr>
      <w:r w:rsidRPr="00023569">
        <w:rPr>
          <w:rFonts w:cs="Arial"/>
          <w:szCs w:val="20"/>
        </w:rPr>
        <w:t xml:space="preserve">Dear </w:t>
      </w:r>
      <w:r w:rsidR="00FE536B" w:rsidRPr="00023569">
        <w:rPr>
          <w:rFonts w:cs="Arial"/>
          <w:szCs w:val="20"/>
        </w:rPr>
        <w:t>Madam/Sir</w:t>
      </w:r>
    </w:p>
    <w:p w14:paraId="6D56A7D3" w14:textId="7F8E9299" w:rsidR="00011221" w:rsidRPr="00497BCC" w:rsidRDefault="00011221" w:rsidP="00011221">
      <w:r>
        <w:t>Electricity is an essential service, meaning electricity prices are felt disproportionately by people on lower incomes. ACTCOSS’ submission on the ICRC issues paper is narrow and reflects a single motivation:</w:t>
      </w:r>
      <w:r w:rsidRPr="00497BCC">
        <w:t xml:space="preserve"> ensuring that the interests of </w:t>
      </w:r>
      <w:r>
        <w:t>energy consumers experiencing</w:t>
      </w:r>
      <w:r w:rsidRPr="00497BCC">
        <w:t xml:space="preserve"> economic disadvantage are promoted. We will engage more fully at the draft report stage.</w:t>
      </w:r>
    </w:p>
    <w:p w14:paraId="30713F11" w14:textId="77777777" w:rsidR="00011221" w:rsidRDefault="00011221" w:rsidP="00011221">
      <w:r w:rsidRPr="00497BCC">
        <w:t>Our interest is in the standing offer as the price cap for the designated retailer, and in the reference price derived from it as the anchor for price expectations across the ACT market. Our recommendations draw on the Commission’s own reports and on the Commonwealth’s 2025 reform of the Default Market Offer (DMO), which limits the DMO to efficient costs, excludes any competition allowance or headroom, and allows only modest customer acquisition and retention costs.</w:t>
      </w:r>
    </w:p>
    <w:p w14:paraId="038D3AEF" w14:textId="77777777" w:rsidR="00011221" w:rsidRDefault="00011221" w:rsidP="00011221">
      <w:pPr>
        <w:pStyle w:val="Heading1"/>
      </w:pPr>
      <w:r>
        <w:t>Measuring vulnerability (Questions 1 and 2)</w:t>
      </w:r>
    </w:p>
    <w:p w14:paraId="5C1A8870" w14:textId="77777777" w:rsidR="00011221" w:rsidRPr="00497BCC" w:rsidRDefault="00011221" w:rsidP="00011221">
      <w:r>
        <w:t xml:space="preserve">In 2024 the Commission relied on </w:t>
      </w:r>
      <w:proofErr w:type="spellStart"/>
      <w:r>
        <w:t>ActewAGL’s</w:t>
      </w:r>
      <w:proofErr w:type="spellEnd"/>
      <w:r>
        <w:t xml:space="preserve"> advice that 93.6 per cent of its hardship customers were on </w:t>
      </w:r>
      <w:r w:rsidRPr="00497BCC">
        <w:t>market offers to set aside the concern that standing offer customers are more likely to be vulnerable.</w:t>
      </w:r>
      <w:r w:rsidRPr="00497BCC">
        <w:rPr>
          <w:rStyle w:val="FootnoteReference"/>
        </w:rPr>
        <w:footnoteReference w:id="1"/>
      </w:r>
      <w:r w:rsidRPr="00497BCC">
        <w:t xml:space="preserve"> The 2025 Electricity Market Monitoring Report puts the figure for all ACT hardship customers at 96.3 per cent.</w:t>
      </w:r>
      <w:r w:rsidRPr="00497BCC">
        <w:rPr>
          <w:rStyle w:val="FootnoteReference"/>
        </w:rPr>
        <w:footnoteReference w:id="2"/>
      </w:r>
      <w:r w:rsidRPr="00497BCC">
        <w:t xml:space="preserve"> It should not be relied on in isolation, for three reasons.</w:t>
      </w:r>
    </w:p>
    <w:p w14:paraId="00F11193" w14:textId="77777777" w:rsidR="00011221" w:rsidRPr="00011221" w:rsidRDefault="00011221" w:rsidP="00011221">
      <w:pPr>
        <w:rPr>
          <w:b/>
          <w:bCs/>
        </w:rPr>
      </w:pPr>
      <w:r w:rsidRPr="00011221">
        <w:rPr>
          <w:b/>
          <w:bCs/>
        </w:rPr>
        <w:t xml:space="preserve">Hardship program customers are a narrower cohort than customers in hardship. </w:t>
      </w:r>
    </w:p>
    <w:p w14:paraId="3B3BE28F" w14:textId="77777777" w:rsidR="00011221" w:rsidRPr="00497BCC" w:rsidRDefault="00011221" w:rsidP="00011221">
      <w:r w:rsidRPr="00497BCC">
        <w:t>Hardship program participants are 1.1 per cent of ACT residential customers, the lowest rate in the National Electricity Market (NEM); concession card holders are around 15 per cent, a cohort more than 13 times larger.</w:t>
      </w:r>
      <w:r w:rsidRPr="00497BCC">
        <w:rPr>
          <w:rStyle w:val="FootnoteReference"/>
        </w:rPr>
        <w:footnoteReference w:id="3"/>
      </w:r>
      <w:r w:rsidRPr="00497BCC">
        <w:t xml:space="preserve"> </w:t>
      </w:r>
      <w:r w:rsidRPr="00497BCC">
        <w:lastRenderedPageBreak/>
        <w:t>Energy Consumers Australia found in 2025 that around 19 per cent of Australian households meet at least one indicator of energy hardship and that 79 per cent of those are not in a retailer hardship program.</w:t>
      </w:r>
      <w:r w:rsidRPr="00497BCC">
        <w:rPr>
          <w:rStyle w:val="FootnoteReference"/>
        </w:rPr>
        <w:footnoteReference w:id="4"/>
      </w:r>
      <w:r w:rsidRPr="00497BCC">
        <w:t xml:space="preserve"> </w:t>
      </w:r>
    </w:p>
    <w:p w14:paraId="036F5D99" w14:textId="77777777" w:rsidR="00011221" w:rsidRPr="00011221" w:rsidRDefault="00011221" w:rsidP="00011221">
      <w:pPr>
        <w:rPr>
          <w:b/>
          <w:bCs/>
        </w:rPr>
      </w:pPr>
      <w:r w:rsidRPr="00011221">
        <w:rPr>
          <w:b/>
          <w:bCs/>
        </w:rPr>
        <w:t xml:space="preserve">Being on a market offer is not an effective measure of active market engagement. </w:t>
      </w:r>
    </w:p>
    <w:p w14:paraId="626666C2" w14:textId="77777777" w:rsidR="00011221" w:rsidRDefault="00011221" w:rsidP="00011221">
      <w:r w:rsidRPr="00497BCC">
        <w:t>Customers on legacy flat-rate offers pay a median of 10 per cent, or $207 a year, more than customers on the same retailer’s new offers.</w:t>
      </w:r>
      <w:r w:rsidRPr="00497BCC">
        <w:rPr>
          <w:rStyle w:val="FootnoteReference"/>
        </w:rPr>
        <w:footnoteReference w:id="5"/>
      </w:r>
      <w:r w:rsidRPr="00497BCC">
        <w:t xml:space="preserve"> A</w:t>
      </w:r>
      <w:r>
        <w:t>n inactive market offer</w:t>
      </w:r>
      <w:r w:rsidRPr="00497BCC">
        <w:t xml:space="preserve"> has more in common with a standing offer customer than with a new customer on an acquisition plan. The share of customers on market offers therefore says little about the prices they pay relative to the standing offer. A lower standing offer therefore benefits a larger cohort than the customers on it.</w:t>
      </w:r>
    </w:p>
    <w:p w14:paraId="0D8118D1" w14:textId="77777777" w:rsidR="00011221" w:rsidRPr="00011221" w:rsidRDefault="00011221" w:rsidP="00011221">
      <w:pPr>
        <w:rPr>
          <w:b/>
          <w:bCs/>
        </w:rPr>
      </w:pPr>
      <w:r w:rsidRPr="00011221">
        <w:rPr>
          <w:b/>
          <w:bCs/>
        </w:rPr>
        <w:t xml:space="preserve">A better measure is available at low cost. </w:t>
      </w:r>
    </w:p>
    <w:p w14:paraId="2CA1B277" w14:textId="77777777" w:rsidR="00011221" w:rsidRDefault="00011221" w:rsidP="00011221">
      <w:r>
        <w:t>The Commission’s monitoring data request already collects customer numbers by offer from the four largest retailers, covering 98 per cent of small customers.</w:t>
      </w:r>
      <w:r>
        <w:rPr>
          <w:rStyle w:val="FootnoteReference"/>
        </w:rPr>
        <w:footnoteReference w:id="6"/>
      </w:r>
      <w:r>
        <w:t xml:space="preserve"> Those retailers hold data on which of those customers receive the Electricity, Gas and Water Rebate to the bill, </w:t>
      </w:r>
      <w:proofErr w:type="spellStart"/>
      <w:r>
        <w:t>Centrepay</w:t>
      </w:r>
      <w:proofErr w:type="spellEnd"/>
      <w:r>
        <w:t xml:space="preserve"> status, and customer address. </w:t>
      </w:r>
    </w:p>
    <w:p w14:paraId="52483CF8" w14:textId="77777777" w:rsidR="00011221" w:rsidRDefault="00011221" w:rsidP="00011221">
      <w:pPr>
        <w:ind w:left="720"/>
      </w:pPr>
      <w:r>
        <w:rPr>
          <w:b/>
          <w:bCs/>
        </w:rPr>
        <w:t xml:space="preserve">Recommendation 1: </w:t>
      </w:r>
      <w:r>
        <w:t xml:space="preserve">Improve equity and hardship related monitoring data. Report disaggregated data on concession, </w:t>
      </w:r>
      <w:proofErr w:type="spellStart"/>
      <w:r>
        <w:t>Centrepay</w:t>
      </w:r>
      <w:proofErr w:type="spellEnd"/>
      <w:r>
        <w:t xml:space="preserve"> and suburb by offer and tariff type in the annual monitoring data request and publish the results.</w:t>
      </w:r>
    </w:p>
    <w:p w14:paraId="3857E9B5" w14:textId="77777777" w:rsidR="00011221" w:rsidRDefault="00011221" w:rsidP="00011221">
      <w:pPr>
        <w:pStyle w:val="Heading1"/>
      </w:pPr>
      <w:r>
        <w:t>The standing offer should only reflect efficient cost (Questions 5 and 6)</w:t>
      </w:r>
    </w:p>
    <w:p w14:paraId="1FADA903" w14:textId="77777777" w:rsidR="00011221" w:rsidRDefault="00011221" w:rsidP="00011221">
      <w:r>
        <w:t>The Terms of Reference ask whether the methodology provides excessive margins, so that standing offer customers pay materially more than active customers. While welcoming the question, ACTCOSS makes the point again that legacy market offer customers are not necessarily active.</w:t>
      </w:r>
    </w:p>
    <w:p w14:paraId="64398CEA" w14:textId="77777777" w:rsidR="00011221" w:rsidRPr="00497BCC" w:rsidRDefault="00011221" w:rsidP="00011221">
      <w:r>
        <w:t xml:space="preserve">The Commonwealth has moved away from competition headroom. Since 1 July 2026 the DMO objective is a “fair, trusted and reasonably priced electricity option that reflects the costs of supplying small customers with an essential service”. The reasonable profit principle is gone, only efficient costs are included, and the Explanatory Statement provides that “only modest costs associated with customer acquisition and retention should be included, </w:t>
      </w:r>
      <w:r>
        <w:lastRenderedPageBreak/>
        <w:t xml:space="preserve">and that any competition allowance (or headroom) should </w:t>
      </w:r>
      <w:r w:rsidRPr="00497BCC">
        <w:t>be excluded”.</w:t>
      </w:r>
      <w:r w:rsidRPr="00497BCC">
        <w:rPr>
          <w:rStyle w:val="FootnoteReference"/>
        </w:rPr>
        <w:footnoteReference w:id="7"/>
      </w:r>
      <w:r w:rsidRPr="00497BCC">
        <w:t xml:space="preserve"> ACTCOSS endorses this approach from the Commonwealth, and the ICRC should follow it. In the Commission’s methodology the two elements sit in different places: customer acquisition and retention costs within the retail operating cost benchmark, and headroom within the retail margin, which the Commission has described as including “headroom for competition, which ensures that retailers with higher-than-average costs are still able to compete”.</w:t>
      </w:r>
      <w:r w:rsidRPr="00497BCC">
        <w:rPr>
          <w:rStyle w:val="FootnoteReference"/>
        </w:rPr>
        <w:footnoteReference w:id="8"/>
      </w:r>
      <w:r w:rsidRPr="00497BCC">
        <w:t xml:space="preserve"> </w:t>
      </w:r>
    </w:p>
    <w:p w14:paraId="0EDFC906" w14:textId="77777777" w:rsidR="00011221" w:rsidRPr="00011221" w:rsidRDefault="00011221" w:rsidP="00011221">
      <w:pPr>
        <w:rPr>
          <w:b/>
          <w:bCs/>
        </w:rPr>
      </w:pPr>
      <w:r w:rsidRPr="00011221">
        <w:rPr>
          <w:b/>
          <w:bCs/>
        </w:rPr>
        <w:t xml:space="preserve">Customer acquisition and retention costs. </w:t>
      </w:r>
    </w:p>
    <w:p w14:paraId="3A2FA0C1" w14:textId="533D2480" w:rsidR="00011221" w:rsidRDefault="00011221" w:rsidP="00011221">
      <w:r w:rsidRPr="00497BCC">
        <w:t>The Commission’s retail operating cost benchmark of $173 per customer, in 2023–24 dollars, is a customer-weighted average of the AER and Essential Services Commission of Victoria (ESC) allowances and includes customer acquisition and retention costs, which the Commission does not publish separately.</w:t>
      </w:r>
      <w:r w:rsidRPr="00497BCC">
        <w:rPr>
          <w:rStyle w:val="FootnoteReference"/>
        </w:rPr>
        <w:footnoteReference w:id="9"/>
      </w:r>
      <w:r w:rsidRPr="00497BCC">
        <w:t xml:space="preserve"> The ESC’s draft 2026–27 allowance is $148 per customer excluding GST, of which $48 is acquisition and retention and $35 bad debt; the AER’s 2026–27 residential allowances for the same bundle range from $176 to $211.</w:t>
      </w:r>
      <w:r w:rsidRPr="00497BCC">
        <w:rPr>
          <w:rStyle w:val="FootnoteReference"/>
        </w:rPr>
        <w:footnoteReference w:id="10"/>
      </w:r>
      <w:r w:rsidRPr="00497BCC">
        <w:t xml:space="preserve"> Tracking the reformed DMO would not, by itself, lower the benchmark. The case for change rests on the acquisition and retention component. </w:t>
      </w:r>
    </w:p>
    <w:p w14:paraId="5036E115" w14:textId="77777777" w:rsidR="00011221" w:rsidRPr="00497BCC" w:rsidRDefault="00011221" w:rsidP="00011221">
      <w:r w:rsidRPr="00497BCC">
        <w:t>Acquisiti</w:t>
      </w:r>
      <w:r>
        <w:t>on and retention costs are costs of competing for customers who compare offers. Standing offer customers are not won through marketing or held by retention spending, so there is no efficiency case for recovering it from them. Its social value is doubtful in any case: electricity is homogeneous (product difference only exists in pricing plans and customer service) and total demand is set by need, so advertising can only move customers between retailers, and where one retailer holds over 70 per cent of residential customers and fewer than 4 per cent switch each year, it moves few.</w:t>
      </w:r>
      <w:r>
        <w:rPr>
          <w:rStyle w:val="FootnoteReference"/>
        </w:rPr>
        <w:footnoteReference w:id="11"/>
      </w:r>
      <w:r>
        <w:t xml:space="preserve"> The AER now weights acquisition and </w:t>
      </w:r>
      <w:r w:rsidRPr="00497BCC">
        <w:t>retention data by share of standing offer customers, producing a modest allowance below the market average; the ESC’s allowance is lower again.</w:t>
      </w:r>
      <w:r w:rsidRPr="00497BCC">
        <w:rPr>
          <w:rStyle w:val="FootnoteReference"/>
        </w:rPr>
        <w:footnoteReference w:id="12"/>
      </w:r>
    </w:p>
    <w:p w14:paraId="6465BBB7" w14:textId="77777777" w:rsidR="00011221" w:rsidRDefault="00011221" w:rsidP="00011221">
      <w:pPr>
        <w:ind w:left="720"/>
      </w:pPr>
      <w:r w:rsidRPr="00497BCC">
        <w:rPr>
          <w:b/>
          <w:bCs/>
        </w:rPr>
        <w:lastRenderedPageBreak/>
        <w:t xml:space="preserve">Recommendation 2: </w:t>
      </w:r>
      <w:r w:rsidRPr="00497BCC">
        <w:t>Remove customer acquisition and retention costs from the benchmark. Exclude customer acquisition and retention costs from the retail operating cost benchmark or, at minimum, reduce them to a modest amount using the AER’s standing-offer-weighted method, and publish the component.</w:t>
      </w:r>
    </w:p>
    <w:p w14:paraId="2DDF5A8F" w14:textId="77777777" w:rsidR="00011221" w:rsidRPr="00011221" w:rsidRDefault="00011221" w:rsidP="00011221">
      <w:pPr>
        <w:rPr>
          <w:b/>
          <w:bCs/>
        </w:rPr>
      </w:pPr>
      <w:r w:rsidRPr="00011221">
        <w:rPr>
          <w:b/>
          <w:bCs/>
        </w:rPr>
        <w:t>Retail margin</w:t>
      </w:r>
    </w:p>
    <w:p w14:paraId="6CA1FC2F" w14:textId="77777777" w:rsidR="00011221" w:rsidRPr="00497BCC" w:rsidRDefault="00011221" w:rsidP="00011221">
      <w:r w:rsidRPr="00497BCC">
        <w:t xml:space="preserve">The </w:t>
      </w:r>
      <w:r w:rsidRPr="00011221">
        <w:t>Commission’s 5.5 per cent retail margin sits between the 2025–26 VDO at 5 per cent and the AER’s 6 per cent, and inside Frontier Economics’ 4.5 to 5.9 per cent expected returns range.</w:t>
      </w:r>
      <w:r w:rsidRPr="00011221">
        <w:footnoteReference w:id="13"/>
      </w:r>
      <w:r w:rsidRPr="00011221">
        <w:t xml:space="preserve"> The margin, by the Commission’s own description, includes headroom for competition, which the Commonwealth has now excluded from the DMO.</w:t>
      </w:r>
      <w:r w:rsidRPr="00497BCC">
        <w:t xml:space="preserve"> Second, the risk the margin compensates is lower in the ACT than in any DMO region or in Victoria: the designated retailer holds over 70 per cent of residential customers and faces the lowest switching rate in the NEM. A margin struck at the lower end of the expected returns range, without headroom, is 5 per cent.</w:t>
      </w:r>
    </w:p>
    <w:p w14:paraId="1D5487EB" w14:textId="77777777" w:rsidR="00011221" w:rsidRDefault="00011221" w:rsidP="00011221">
      <w:pPr>
        <w:ind w:left="720"/>
      </w:pPr>
      <w:r w:rsidRPr="00497BCC">
        <w:rPr>
          <w:b/>
          <w:bCs/>
        </w:rPr>
        <w:t xml:space="preserve">Recommendation 3: </w:t>
      </w:r>
      <w:r w:rsidRPr="00497BCC">
        <w:t>Set the retail margin at 5 per cent, in line with the Victorian Default Offer (VDO), with no headroom for competition.</w:t>
      </w:r>
    </w:p>
    <w:p w14:paraId="4EEF0B20" w14:textId="77777777" w:rsidR="00011221" w:rsidRDefault="00011221" w:rsidP="00011221">
      <w:r>
        <w:t>Retailers compete for customers who compare offers and price the rest by reference to the cap. The ACT market is maturing in this way: the share of flat-rate customers paying 30 per cent or more below the reference price fell from 16 per cent in 2024 to 6 per cent in 2025, price dispersion widened, and legacy offers were repriced upward.</w:t>
      </w:r>
      <w:r>
        <w:rPr>
          <w:rStyle w:val="FootnoteReference"/>
        </w:rPr>
        <w:footnoteReference w:id="14"/>
      </w:r>
      <w:r>
        <w:t xml:space="preserve"> Retailers are spending less to win customers and moving existing customers toward the cap to harvest profit.</w:t>
      </w:r>
    </w:p>
    <w:p w14:paraId="438AB2C7" w14:textId="77777777" w:rsidR="00011221" w:rsidRDefault="00011221" w:rsidP="00011221">
      <w:r w:rsidRPr="00497BCC">
        <w:t xml:space="preserve">Embedded network residents, in caravan parks and retirement villages, are in the same position by construction: their network operator may charge up to </w:t>
      </w:r>
      <w:proofErr w:type="spellStart"/>
      <w:r w:rsidRPr="00497BCC">
        <w:t>ActewAGL’s</w:t>
      </w:r>
      <w:proofErr w:type="spellEnd"/>
      <w:r w:rsidRPr="00497BCC">
        <w:t xml:space="preserve"> standing offer, they cannot switch retailer, and whatever competition-related cost sits in the standing offer they pay without access to a market offer. The Commonwealth will apply the DMO to embedded network customers from 2027–28, and the ACT should provide equivalent protection.</w:t>
      </w:r>
      <w:r w:rsidRPr="00497BCC">
        <w:rPr>
          <w:rStyle w:val="FootnoteReference"/>
        </w:rPr>
        <w:footnoteReference w:id="15"/>
      </w:r>
      <w:r w:rsidRPr="00497BCC">
        <w:t xml:space="preserve"> </w:t>
      </w:r>
    </w:p>
    <w:p w14:paraId="3AF94234" w14:textId="77777777" w:rsidR="00011221" w:rsidRPr="00497BCC" w:rsidRDefault="00011221" w:rsidP="00011221">
      <w:pPr>
        <w:ind w:left="720"/>
      </w:pPr>
      <w:r>
        <w:rPr>
          <w:b/>
          <w:bCs/>
        </w:rPr>
        <w:t xml:space="preserve">Recommendation 4: </w:t>
      </w:r>
      <w:r>
        <w:t xml:space="preserve">Protect inactive market offer </w:t>
      </w:r>
      <w:r w:rsidRPr="00497BCC">
        <w:t>customers. Advise the Treasurer on a rule that no existing customer pays more than the retailer’s new-customer price for the same tariff, and on reference price protection for embedded network customers.</w:t>
      </w:r>
    </w:p>
    <w:p w14:paraId="076D8A6E" w14:textId="77777777" w:rsidR="00011221" w:rsidRPr="00497BCC" w:rsidRDefault="00011221" w:rsidP="00011221">
      <w:pPr>
        <w:pStyle w:val="Heading1"/>
      </w:pPr>
      <w:r w:rsidRPr="00497BCC">
        <w:t>The time-of-use standing offer (Questions 7 to 9)</w:t>
      </w:r>
    </w:p>
    <w:p w14:paraId="106440A8" w14:textId="77777777" w:rsidR="00011221" w:rsidRDefault="00011221" w:rsidP="00011221">
      <w:r w:rsidRPr="00497BCC">
        <w:lastRenderedPageBreak/>
        <w:t>ACTCOSS supports cost-reflective network pricing. Time-of-use tariffs price the network’s peak, defer investment and make room for electrification, and 26</w:t>
      </w:r>
      <w:r>
        <w:t xml:space="preserve"> per cent of ACT residential customers are already on them.</w:t>
      </w:r>
      <w:r>
        <w:rPr>
          <w:rStyle w:val="FootnoteReference"/>
        </w:rPr>
        <w:footnoteReference w:id="16"/>
      </w:r>
      <w:r>
        <w:t xml:space="preserve"> The question is which customer the cap is modelled on.</w:t>
      </w:r>
    </w:p>
    <w:p w14:paraId="71112453" w14:textId="77777777" w:rsidR="00011221" w:rsidRPr="00497BCC" w:rsidRDefault="00011221" w:rsidP="00011221">
      <w:r>
        <w:t xml:space="preserve">If the representative load profile assumes customers shift consumption out of the peak, the cap is set for households with batteries, electric vehicles and daytime flexibility. Households that cannot shift, including people home during the day, people using medical equipment, families in uninsulated rentals through a </w:t>
      </w:r>
      <w:r w:rsidRPr="00497BCC">
        <w:t>Canberra winter and shift workers, will pay more than the modelled bill. Renters are the largest such group: nationally, 37 per cent of rentals are insulated against 80 per cent of owner-occupied homes, and 9 per cent have solar against 48 per cent of homes owned outright.</w:t>
      </w:r>
      <w:r w:rsidRPr="00497BCC">
        <w:rPr>
          <w:rStyle w:val="FootnoteReference"/>
        </w:rPr>
        <w:footnoteReference w:id="17"/>
      </w:r>
    </w:p>
    <w:p w14:paraId="39AB864E" w14:textId="77777777" w:rsidR="00011221" w:rsidRDefault="00011221" w:rsidP="00011221">
      <w:r w:rsidRPr="00497BCC">
        <w:t>The AER priced its Solar Sharer Offer on no change in consumer behaviour, stating that this “better protects customers”: those who shift load are better off and those who cannot are not worse off. The Commonwealth regulations bar the Solar Sharer Offer from being the default standing offer; it is opt-in.</w:t>
      </w:r>
      <w:r w:rsidRPr="00497BCC">
        <w:rPr>
          <w:rStyle w:val="FootnoteReference"/>
        </w:rPr>
        <w:footnoteReference w:id="18"/>
      </w:r>
      <w:r w:rsidRPr="00497BCC">
        <w:t xml:space="preserve"> The Australian Energy Market Commission’s smart meter rule, in force since December 2025, requires explicit informed consent before a retailer changes a customer’s tariff and lets jurisdictions require designated retailers to offer flat-rate tariffs.</w:t>
      </w:r>
      <w:r w:rsidRPr="00497BCC">
        <w:rPr>
          <w:rStyle w:val="FootnoteReference"/>
        </w:rPr>
        <w:footnoteReference w:id="19"/>
      </w:r>
      <w:r w:rsidRPr="00497BCC">
        <w:t xml:space="preserve"> The Commission should adopt the AER’s modelling principle and advise the Treasurer that flat rate remains the default (recommendations 5 and 6).</w:t>
      </w:r>
    </w:p>
    <w:p w14:paraId="044C2572" w14:textId="77777777" w:rsidR="00011221" w:rsidRDefault="00011221" w:rsidP="00011221">
      <w:pPr>
        <w:ind w:left="720"/>
      </w:pPr>
      <w:r>
        <w:rPr>
          <w:b/>
          <w:bCs/>
        </w:rPr>
        <w:t xml:space="preserve">Recommendation 5: </w:t>
      </w:r>
      <w:r>
        <w:t>Time-of-use modelling. Model the time-of-use cap on no load shifting and publish a low-flexibility household bill beside the representative customer.</w:t>
      </w:r>
    </w:p>
    <w:p w14:paraId="78454859" w14:textId="77777777" w:rsidR="00011221" w:rsidRDefault="00011221" w:rsidP="00011221">
      <w:pPr>
        <w:ind w:left="720"/>
      </w:pPr>
      <w:r>
        <w:rPr>
          <w:b/>
          <w:bCs/>
        </w:rPr>
        <w:t xml:space="preserve">Recommendation 6: </w:t>
      </w:r>
      <w:r>
        <w:t>Default tariff. Advise the Treasurer that flat rate remains the default, with time-of-use and demand tariffs by explicit informed consent.</w:t>
      </w:r>
    </w:p>
    <w:p w14:paraId="14F5788B" w14:textId="72C56A89" w:rsidR="00011221" w:rsidRPr="00B436BF" w:rsidRDefault="00011221" w:rsidP="00011221">
      <w:r w:rsidRPr="00B436BF">
        <w:t xml:space="preserve">Question 8 asks whether there should be separate reference prices for time-of-use and flat-rate customers. ACTCOSS </w:t>
      </w:r>
      <w:r w:rsidR="00633F52">
        <w:t xml:space="preserve">is concerned that </w:t>
      </w:r>
      <w:r w:rsidR="00172773">
        <w:t xml:space="preserve">the addition of another </w:t>
      </w:r>
      <w:r w:rsidR="00B80FEF">
        <w:t>reference price could be confusing for consumers, especially low-information ones who may also experience economic disadvantage</w:t>
      </w:r>
      <w:r w:rsidR="00D061B4">
        <w:t xml:space="preserve">. </w:t>
      </w:r>
      <w:r w:rsidRPr="00B436BF">
        <w:t>The reference price exists for the customers least likely to compare offers, and a second reference price that depends on a customer knowing their usage pattern moves complexity onto that group</w:t>
      </w:r>
      <w:r w:rsidR="00A07DB4">
        <w:t xml:space="preserve">. </w:t>
      </w:r>
      <w:r w:rsidR="00172773">
        <w:t xml:space="preserve">As such, the commission </w:t>
      </w:r>
      <w:r w:rsidRPr="00B436BF">
        <w:t xml:space="preserve">should test the design with low-engagement </w:t>
      </w:r>
      <w:proofErr w:type="gramStart"/>
      <w:r w:rsidRPr="00B436BF">
        <w:t>consumers</w:t>
      </w:r>
      <w:r w:rsidR="00172773">
        <w:t>, and</w:t>
      </w:r>
      <w:proofErr w:type="gramEnd"/>
      <w:r w:rsidR="00172773">
        <w:t xml:space="preserve"> aim the information primarily at those who are already on time-of-use offers.</w:t>
      </w:r>
    </w:p>
    <w:p w14:paraId="281E29DD" w14:textId="5F22EFDD" w:rsidR="00011221" w:rsidRDefault="00011221" w:rsidP="00011221">
      <w:pPr>
        <w:ind w:left="720"/>
      </w:pPr>
      <w:r w:rsidRPr="00B436BF">
        <w:rPr>
          <w:b/>
          <w:bCs/>
        </w:rPr>
        <w:lastRenderedPageBreak/>
        <w:t xml:space="preserve">Recommendation 7: </w:t>
      </w:r>
      <w:r w:rsidR="00172773">
        <w:t>Advise the Treasurer</w:t>
      </w:r>
      <w:r w:rsidR="00172773" w:rsidRPr="0099342B">
        <w:t xml:space="preserve"> that</w:t>
      </w:r>
      <w:r w:rsidR="00172773">
        <w:rPr>
          <w:b/>
          <w:bCs/>
        </w:rPr>
        <w:t xml:space="preserve"> </w:t>
      </w:r>
      <w:r w:rsidR="00172773">
        <w:t xml:space="preserve">any move toward </w:t>
      </w:r>
      <w:r w:rsidRPr="00B436BF">
        <w:t xml:space="preserve">separate time-of-use and flat-rate reference prices </w:t>
      </w:r>
      <w:r w:rsidR="00172773">
        <w:t xml:space="preserve">should </w:t>
      </w:r>
      <w:proofErr w:type="gramStart"/>
      <w:r w:rsidR="00172773">
        <w:t>give consideration to</w:t>
      </w:r>
      <w:proofErr w:type="gramEnd"/>
      <w:r w:rsidR="00172773">
        <w:t xml:space="preserve"> the impact on low information consumers and be primarily targeted to people already on time-of-use </w:t>
      </w:r>
      <w:r w:rsidR="00F673C5">
        <w:t>plans.</w:t>
      </w:r>
    </w:p>
    <w:p w14:paraId="7590036E" w14:textId="77777777" w:rsidR="00FE536B" w:rsidRPr="00023569" w:rsidRDefault="00FE536B" w:rsidP="00011221">
      <w:pPr>
        <w:rPr>
          <w:rFonts w:eastAsiaTheme="minorHAnsi" w:cs="Arial"/>
          <w:lang w:val="en-US" w:eastAsia="en-US"/>
        </w:rPr>
      </w:pPr>
    </w:p>
    <w:p w14:paraId="6214AF4F" w14:textId="77777777" w:rsidR="00FE536B" w:rsidRPr="00023569" w:rsidRDefault="00FE536B" w:rsidP="00D94890">
      <w:pPr>
        <w:rPr>
          <w:rFonts w:eastAsiaTheme="minorHAnsi" w:cs="Arial"/>
          <w:lang w:val="en-US" w:eastAsia="en-US"/>
        </w:rPr>
      </w:pPr>
    </w:p>
    <w:p w14:paraId="0D24B959" w14:textId="00A20133" w:rsidR="00D94890" w:rsidRPr="00023569" w:rsidRDefault="00D94890" w:rsidP="00D94890">
      <w:pPr>
        <w:rPr>
          <w:rFonts w:eastAsiaTheme="minorHAnsi" w:cs="Arial"/>
          <w:lang w:val="en-US" w:eastAsia="en-US"/>
        </w:rPr>
      </w:pPr>
      <w:r w:rsidRPr="00023569">
        <w:rPr>
          <w:rFonts w:eastAsiaTheme="minorHAnsi" w:cs="Arial"/>
          <w:lang w:val="en-US" w:eastAsia="en-US"/>
        </w:rPr>
        <w:t>Yours sincerely</w:t>
      </w:r>
    </w:p>
    <w:p w14:paraId="54E755BC" w14:textId="77777777" w:rsidR="00D94890" w:rsidRPr="00023569" w:rsidRDefault="00D94890" w:rsidP="00D94890">
      <w:pPr>
        <w:rPr>
          <w:rFonts w:eastAsiaTheme="minorHAnsi" w:cs="Arial"/>
          <w:lang w:val="en-US" w:eastAsia="en-US"/>
        </w:rPr>
      </w:pPr>
      <w:r w:rsidRPr="00023569">
        <w:rPr>
          <w:rFonts w:eastAsiaTheme="minorHAnsi" w:cs="Arial"/>
          <w:noProof/>
          <w:lang w:val="en-US" w:eastAsia="en-US"/>
        </w:rPr>
        <w:drawing>
          <wp:inline distT="0" distB="0" distL="0" distR="0" wp14:anchorId="705F42F1" wp14:editId="0873224C">
            <wp:extent cx="1318054" cy="292901"/>
            <wp:effectExtent l="0" t="0" r="0" b="0"/>
            <wp:docPr id="1866790276" name="Picture 2" descr="Dr Bowles' Signa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6790276" name="Picture 2" descr="Dr Bowles' Signature"/>
                    <pic:cNvPicPr/>
                  </pic:nvPicPr>
                  <pic:blipFill>
                    <a:blip r:embed="rId12">
                      <a:extLst>
                        <a:ext uri="{28A0092B-C50C-407E-A947-70E740481C1C}">
                          <a14:useLocalDpi xmlns:a14="http://schemas.microsoft.com/office/drawing/2010/main" val="0"/>
                        </a:ext>
                      </a:extLst>
                    </a:blip>
                    <a:stretch>
                      <a:fillRect/>
                    </a:stretch>
                  </pic:blipFill>
                  <pic:spPr>
                    <a:xfrm>
                      <a:off x="0" y="0"/>
                      <a:ext cx="1352728" cy="300606"/>
                    </a:xfrm>
                    <a:prstGeom prst="rect">
                      <a:avLst/>
                    </a:prstGeom>
                  </pic:spPr>
                </pic:pic>
              </a:graphicData>
            </a:graphic>
          </wp:inline>
        </w:drawing>
      </w:r>
    </w:p>
    <w:p w14:paraId="49D0F54C" w14:textId="77777777" w:rsidR="00D94890" w:rsidRPr="00023569" w:rsidRDefault="00D94890" w:rsidP="00D94890">
      <w:pPr>
        <w:rPr>
          <w:rFonts w:eastAsiaTheme="minorHAnsi" w:cs="Arial"/>
          <w:lang w:val="en-US" w:eastAsia="en-US"/>
        </w:rPr>
      </w:pPr>
      <w:r w:rsidRPr="00023569">
        <w:rPr>
          <w:rFonts w:eastAsiaTheme="minorHAnsi" w:cs="Arial"/>
          <w:lang w:eastAsia="en-US"/>
        </w:rPr>
        <w:t>Dr Devin Bowles</w:t>
      </w:r>
      <w:r w:rsidRPr="00023569">
        <w:rPr>
          <w:rFonts w:eastAsiaTheme="minorHAnsi" w:cs="Arial"/>
          <w:lang w:val="en-US" w:eastAsia="en-US"/>
        </w:rPr>
        <w:br/>
        <w:t>CEO</w:t>
      </w:r>
      <w:r w:rsidRPr="00023569">
        <w:rPr>
          <w:rFonts w:eastAsiaTheme="minorHAnsi" w:cs="Arial"/>
          <w:lang w:val="en-US" w:eastAsia="en-US"/>
        </w:rPr>
        <w:br/>
        <w:t>ACT Council of Social Service</w:t>
      </w:r>
      <w:r w:rsidRPr="00023569">
        <w:rPr>
          <w:rFonts w:eastAsiaTheme="minorHAnsi" w:cs="Arial"/>
          <w:lang w:val="en-US" w:eastAsia="en-US"/>
        </w:rPr>
        <w:br/>
      </w:r>
      <w:hyperlink r:id="rId13" w:history="1">
        <w:r w:rsidRPr="00023569">
          <w:rPr>
            <w:rStyle w:val="Hyperlink"/>
            <w:rFonts w:eastAsiaTheme="minorHAnsi" w:cs="Arial"/>
            <w:lang w:val="en-US" w:eastAsia="en-US"/>
          </w:rPr>
          <w:t>devin.bowles@actcoss.org.au</w:t>
        </w:r>
      </w:hyperlink>
      <w:r w:rsidRPr="00023569">
        <w:rPr>
          <w:rFonts w:eastAsiaTheme="minorHAnsi" w:cs="Arial"/>
          <w:lang w:val="en-US" w:eastAsia="en-US"/>
        </w:rPr>
        <w:t xml:space="preserve"> </w:t>
      </w:r>
    </w:p>
    <w:p w14:paraId="29FEB8B4" w14:textId="1129D6DE" w:rsidR="00621E13" w:rsidRPr="00023569" w:rsidRDefault="00621E13" w:rsidP="00D94890">
      <w:pPr>
        <w:rPr>
          <w:rFonts w:eastAsiaTheme="minorHAnsi" w:cs="Arial"/>
          <w:lang w:val="en-US" w:eastAsia="en-US"/>
        </w:rPr>
      </w:pPr>
    </w:p>
    <w:sectPr w:rsidR="00621E13" w:rsidRPr="00023569" w:rsidSect="004153C5">
      <w:headerReference w:type="default" r:id="rId14"/>
      <w:footerReference w:type="even" r:id="rId15"/>
      <w:footerReference w:type="default" r:id="rId16"/>
      <w:headerReference w:type="first" r:id="rId17"/>
      <w:footerReference w:type="first" r:id="rId18"/>
      <w:pgSz w:w="11900" w:h="16840"/>
      <w:pgMar w:top="3402" w:right="851" w:bottom="2268" w:left="851" w:header="624"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A3F480" w14:textId="77777777" w:rsidR="00CD590A" w:rsidRDefault="00CD590A" w:rsidP="00B50635">
      <w:pPr>
        <w:spacing w:after="0" w:line="240" w:lineRule="auto"/>
      </w:pPr>
      <w:r>
        <w:separator/>
      </w:r>
    </w:p>
  </w:endnote>
  <w:endnote w:type="continuationSeparator" w:id="0">
    <w:p w14:paraId="7EB9C108" w14:textId="77777777" w:rsidR="00CD590A" w:rsidRDefault="00CD590A" w:rsidP="00B506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 w:name="Times New Roman (Body CS)">
    <w:altName w:val="Times New Roman"/>
    <w:charset w:val="00"/>
    <w:family w:val="roman"/>
    <w:pitch w:val="default"/>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Inter">
    <w:altName w:val="Calibri"/>
    <w:charset w:val="00"/>
    <w:family w:val="swiss"/>
    <w:pitch w:val="variable"/>
    <w:sig w:usb0="E00002FF" w:usb1="1200A1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27862821"/>
      <w:docPartObj>
        <w:docPartGallery w:val="Page Numbers (Bottom of Page)"/>
        <w:docPartUnique/>
      </w:docPartObj>
    </w:sdtPr>
    <w:sdtContent>
      <w:p w14:paraId="4476E073" w14:textId="324A2602" w:rsidR="00B77E46" w:rsidRDefault="00B77E4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3EA9B8D4" w14:textId="77777777" w:rsidR="00B77E46" w:rsidRDefault="00B77E46" w:rsidP="00B77E4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436174255"/>
      <w:docPartObj>
        <w:docPartGallery w:val="Page Numbers (Bottom of Page)"/>
        <w:docPartUnique/>
      </w:docPartObj>
    </w:sdtPr>
    <w:sdtEndPr>
      <w:rPr>
        <w:rStyle w:val="PageNumber"/>
        <w:sz w:val="19"/>
        <w:szCs w:val="19"/>
      </w:rPr>
    </w:sdtEndPr>
    <w:sdtContent>
      <w:p w14:paraId="61A0F085" w14:textId="23818245" w:rsidR="00B77E46" w:rsidRPr="00B77E46" w:rsidRDefault="00B77E46">
        <w:pPr>
          <w:pStyle w:val="Footer"/>
          <w:framePr w:wrap="none" w:vAnchor="text" w:hAnchor="margin" w:xAlign="right" w:y="1"/>
          <w:rPr>
            <w:rStyle w:val="PageNumber"/>
            <w:sz w:val="19"/>
            <w:szCs w:val="19"/>
          </w:rPr>
        </w:pPr>
        <w:r w:rsidRPr="00B77E46">
          <w:rPr>
            <w:rStyle w:val="PageNumber"/>
            <w:sz w:val="19"/>
            <w:szCs w:val="19"/>
          </w:rPr>
          <w:fldChar w:fldCharType="begin"/>
        </w:r>
        <w:r w:rsidRPr="00B77E46">
          <w:rPr>
            <w:rStyle w:val="PageNumber"/>
            <w:sz w:val="19"/>
            <w:szCs w:val="19"/>
          </w:rPr>
          <w:instrText xml:space="preserve"> PAGE </w:instrText>
        </w:r>
        <w:r w:rsidRPr="00B77E46">
          <w:rPr>
            <w:rStyle w:val="PageNumber"/>
            <w:sz w:val="19"/>
            <w:szCs w:val="19"/>
          </w:rPr>
          <w:fldChar w:fldCharType="separate"/>
        </w:r>
        <w:r w:rsidRPr="00B77E46">
          <w:rPr>
            <w:rStyle w:val="PageNumber"/>
            <w:noProof/>
            <w:sz w:val="19"/>
            <w:szCs w:val="19"/>
          </w:rPr>
          <w:t>2</w:t>
        </w:r>
        <w:r w:rsidRPr="00B77E46">
          <w:rPr>
            <w:rStyle w:val="PageNumber"/>
            <w:sz w:val="19"/>
            <w:szCs w:val="19"/>
          </w:rPr>
          <w:fldChar w:fldCharType="end"/>
        </w:r>
      </w:p>
    </w:sdtContent>
  </w:sdt>
  <w:p w14:paraId="0F29AAFF" w14:textId="4CFE6384" w:rsidR="00EA37B8" w:rsidRDefault="00170AF5" w:rsidP="00B77E46">
    <w:pPr>
      <w:pStyle w:val="Footer"/>
      <w:ind w:right="360"/>
    </w:pPr>
    <w:r>
      <w:rPr>
        <w:noProof/>
      </w:rPr>
      <w:drawing>
        <wp:anchor distT="0" distB="0" distL="114300" distR="114300" simplePos="0" relativeHeight="251658244" behindDoc="1" locked="0" layoutInCell="1" allowOverlap="1" wp14:anchorId="7BAF4A65" wp14:editId="636F7876">
          <wp:simplePos x="0" y="0"/>
          <wp:positionH relativeFrom="page">
            <wp:align>left</wp:align>
          </wp:positionH>
          <wp:positionV relativeFrom="paragraph">
            <wp:posOffset>-2108835</wp:posOffset>
          </wp:positionV>
          <wp:extent cx="7584142" cy="2688842"/>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a:extLst>
                      <a:ext uri="{28A0092B-C50C-407E-A947-70E740481C1C}">
                        <a14:useLocalDpi xmlns:a14="http://schemas.microsoft.com/office/drawing/2010/main" val="0"/>
                      </a:ext>
                    </a:extLst>
                  </a:blip>
                  <a:stretch>
                    <a:fillRect/>
                  </a:stretch>
                </pic:blipFill>
                <pic:spPr>
                  <a:xfrm>
                    <a:off x="0" y="0"/>
                    <a:ext cx="7584142" cy="2688842"/>
                  </a:xfrm>
                  <a:prstGeom prst="rect">
                    <a:avLst/>
                  </a:prstGeom>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sz w:val="19"/>
        <w:szCs w:val="19"/>
      </w:rPr>
      <w:id w:val="-1083987545"/>
      <w:docPartObj>
        <w:docPartGallery w:val="Page Numbers (Bottom of Page)"/>
        <w:docPartUnique/>
      </w:docPartObj>
    </w:sdtPr>
    <w:sdtContent>
      <w:p w14:paraId="4488826C" w14:textId="482A6CA5" w:rsidR="00B77E46" w:rsidRPr="00B77E46" w:rsidRDefault="00B77E46">
        <w:pPr>
          <w:pStyle w:val="Footer"/>
          <w:framePr w:wrap="none" w:vAnchor="text" w:hAnchor="margin" w:xAlign="right" w:y="1"/>
          <w:rPr>
            <w:rStyle w:val="PageNumber"/>
            <w:sz w:val="19"/>
            <w:szCs w:val="19"/>
          </w:rPr>
        </w:pPr>
        <w:r w:rsidRPr="00B77E46">
          <w:rPr>
            <w:rStyle w:val="PageNumber"/>
            <w:sz w:val="19"/>
            <w:szCs w:val="19"/>
          </w:rPr>
          <w:fldChar w:fldCharType="begin"/>
        </w:r>
        <w:r w:rsidRPr="00B77E46">
          <w:rPr>
            <w:rStyle w:val="PageNumber"/>
            <w:sz w:val="19"/>
            <w:szCs w:val="19"/>
          </w:rPr>
          <w:instrText xml:space="preserve"> PAGE </w:instrText>
        </w:r>
        <w:r w:rsidRPr="00B77E46">
          <w:rPr>
            <w:rStyle w:val="PageNumber"/>
            <w:sz w:val="19"/>
            <w:szCs w:val="19"/>
          </w:rPr>
          <w:fldChar w:fldCharType="separate"/>
        </w:r>
        <w:r w:rsidRPr="00B77E46">
          <w:rPr>
            <w:rStyle w:val="PageNumber"/>
            <w:noProof/>
            <w:sz w:val="19"/>
            <w:szCs w:val="19"/>
          </w:rPr>
          <w:t>1</w:t>
        </w:r>
        <w:r w:rsidRPr="00B77E46">
          <w:rPr>
            <w:rStyle w:val="PageNumber"/>
            <w:sz w:val="19"/>
            <w:szCs w:val="19"/>
          </w:rPr>
          <w:fldChar w:fldCharType="end"/>
        </w:r>
      </w:p>
    </w:sdtContent>
  </w:sdt>
  <w:p w14:paraId="3C9648F3" w14:textId="2E1329D2" w:rsidR="00EA37B8" w:rsidRPr="00B77E46" w:rsidRDefault="00B77E46" w:rsidP="00B77E46">
    <w:pPr>
      <w:pStyle w:val="Pa1"/>
      <w:spacing w:after="120" w:line="200" w:lineRule="atLeast"/>
      <w:rPr>
        <w:rFonts w:ascii="Arial" w:hAnsi="Arial" w:cs="Arial"/>
        <w:color w:val="211D1E"/>
        <w:sz w:val="19"/>
        <w:szCs w:val="19"/>
      </w:rPr>
    </w:pPr>
    <w:r w:rsidRPr="00B77E46">
      <w:rPr>
        <w:noProof/>
        <w:sz w:val="19"/>
        <w:szCs w:val="19"/>
      </w:rPr>
      <w:drawing>
        <wp:anchor distT="0" distB="0" distL="114300" distR="114300" simplePos="0" relativeHeight="251658241" behindDoc="1" locked="0" layoutInCell="1" allowOverlap="1" wp14:anchorId="6AA6C172" wp14:editId="622385DB">
          <wp:simplePos x="0" y="0"/>
          <wp:positionH relativeFrom="column">
            <wp:posOffset>-535305</wp:posOffset>
          </wp:positionH>
          <wp:positionV relativeFrom="paragraph">
            <wp:posOffset>-2025131</wp:posOffset>
          </wp:positionV>
          <wp:extent cx="7547610" cy="2675890"/>
          <wp:effectExtent l="0" t="0" r="0" b="38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a:extLst>
                      <a:ext uri="{28A0092B-C50C-407E-A947-70E740481C1C}">
                        <a14:useLocalDpi xmlns:a14="http://schemas.microsoft.com/office/drawing/2010/main" val="0"/>
                      </a:ext>
                    </a:extLst>
                  </a:blip>
                  <a:stretch>
                    <a:fillRect/>
                  </a:stretch>
                </pic:blipFill>
                <pic:spPr>
                  <a:xfrm>
                    <a:off x="0" y="0"/>
                    <a:ext cx="7547610" cy="267589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EF2AE7" w14:textId="77777777" w:rsidR="00CD590A" w:rsidRDefault="00CD590A" w:rsidP="00B50635">
      <w:pPr>
        <w:spacing w:after="0" w:line="240" w:lineRule="auto"/>
      </w:pPr>
      <w:r>
        <w:separator/>
      </w:r>
    </w:p>
  </w:footnote>
  <w:footnote w:type="continuationSeparator" w:id="0">
    <w:p w14:paraId="004F13FB" w14:textId="77777777" w:rsidR="00CD590A" w:rsidRDefault="00CD590A" w:rsidP="00B50635">
      <w:pPr>
        <w:spacing w:after="0" w:line="240" w:lineRule="auto"/>
      </w:pPr>
      <w:r>
        <w:continuationSeparator/>
      </w:r>
    </w:p>
  </w:footnote>
  <w:footnote w:id="1">
    <w:p w14:paraId="0FCE8BF4" w14:textId="0F6A2828" w:rsidR="00011221" w:rsidRDefault="00011221" w:rsidP="00011221">
      <w:r>
        <w:rPr>
          <w:rStyle w:val="FootnoteReference"/>
        </w:rPr>
        <w:footnoteRef/>
      </w:r>
      <w:r w:rsidR="000245FC">
        <w:rPr>
          <w:rFonts w:ascii="Calibri" w:eastAsia="Calibri" w:hAnsi="Calibri" w:cs="Calibri"/>
          <w:sz w:val="18"/>
          <w:szCs w:val="18"/>
        </w:rPr>
        <w:t xml:space="preserve"> </w:t>
      </w:r>
      <w:r>
        <w:rPr>
          <w:rFonts w:ascii="Calibri" w:eastAsia="Calibri" w:hAnsi="Calibri" w:cs="Calibri"/>
          <w:sz w:val="18"/>
          <w:szCs w:val="18"/>
        </w:rPr>
        <w:t>ICRC, Retail electricity price investigation 2024–27: Final report (Report 5 of 2024), June 2024, p. 9.</w:t>
      </w:r>
    </w:p>
  </w:footnote>
  <w:footnote w:id="2">
    <w:p w14:paraId="01DBCDAF" w14:textId="76933C40" w:rsidR="00011221" w:rsidRDefault="00011221" w:rsidP="00011221">
      <w:r>
        <w:rPr>
          <w:rStyle w:val="FootnoteReference"/>
        </w:rPr>
        <w:footnoteRef/>
      </w:r>
      <w:r w:rsidR="000245FC">
        <w:rPr>
          <w:rFonts w:ascii="Calibri" w:eastAsia="Calibri" w:hAnsi="Calibri" w:cs="Calibri"/>
          <w:sz w:val="18"/>
          <w:szCs w:val="18"/>
        </w:rPr>
        <w:t xml:space="preserve"> </w:t>
      </w:r>
      <w:r>
        <w:rPr>
          <w:rFonts w:ascii="Calibri" w:eastAsia="Calibri" w:hAnsi="Calibri" w:cs="Calibri"/>
          <w:sz w:val="18"/>
          <w:szCs w:val="18"/>
        </w:rPr>
        <w:t>ICRC, ACT Electricity Market Monitoring Report 2025 (Final), Table 5.1 (2,075 of 2,155 hardship customers across all ACT retailers).</w:t>
      </w:r>
    </w:p>
  </w:footnote>
  <w:footnote w:id="3">
    <w:p w14:paraId="686E7555" w14:textId="097B6C86" w:rsidR="00011221" w:rsidRDefault="00011221" w:rsidP="00011221">
      <w:r>
        <w:rPr>
          <w:rStyle w:val="FootnoteReference"/>
        </w:rPr>
        <w:footnoteRef/>
      </w:r>
      <w:r w:rsidR="000245FC">
        <w:rPr>
          <w:rFonts w:ascii="Calibri" w:eastAsia="Calibri" w:hAnsi="Calibri" w:cs="Calibri"/>
          <w:sz w:val="18"/>
          <w:szCs w:val="18"/>
        </w:rPr>
        <w:t xml:space="preserve"> </w:t>
      </w:r>
      <w:r>
        <w:rPr>
          <w:rFonts w:ascii="Calibri" w:eastAsia="Calibri" w:hAnsi="Calibri" w:cs="Calibri"/>
          <w:sz w:val="18"/>
          <w:szCs w:val="18"/>
        </w:rPr>
        <w:t>ICRC, ACT Electricity Market Monitoring Report 2025, Figures 5.1 and 5.3.</w:t>
      </w:r>
    </w:p>
  </w:footnote>
  <w:footnote w:id="4">
    <w:p w14:paraId="70983803" w14:textId="5EFEFB2A" w:rsidR="00011221" w:rsidRDefault="00011221" w:rsidP="00011221">
      <w:r>
        <w:rPr>
          <w:rStyle w:val="FootnoteReference"/>
        </w:rPr>
        <w:footnoteRef/>
      </w:r>
      <w:r w:rsidR="000245FC">
        <w:rPr>
          <w:rFonts w:ascii="Calibri" w:eastAsia="Calibri" w:hAnsi="Calibri" w:cs="Calibri"/>
          <w:sz w:val="18"/>
          <w:szCs w:val="18"/>
        </w:rPr>
        <w:t xml:space="preserve"> </w:t>
      </w:r>
      <w:r>
        <w:rPr>
          <w:rFonts w:ascii="Calibri" w:eastAsia="Calibri" w:hAnsi="Calibri" w:cs="Calibri"/>
          <w:sz w:val="18"/>
          <w:szCs w:val="18"/>
        </w:rPr>
        <w:t>Energy Consumers Australia, Understanding and measuring energy hardship in Australia (Consumer Energy Report Card, June 2025), July 2025.</w:t>
      </w:r>
    </w:p>
  </w:footnote>
  <w:footnote w:id="5">
    <w:p w14:paraId="1AA9BEC8" w14:textId="76F653B8" w:rsidR="00011221" w:rsidRDefault="00011221" w:rsidP="00011221">
      <w:r>
        <w:rPr>
          <w:rStyle w:val="FootnoteReference"/>
        </w:rPr>
        <w:footnoteRef/>
      </w:r>
      <w:r w:rsidR="000245FC">
        <w:rPr>
          <w:rFonts w:ascii="Calibri" w:eastAsia="Calibri" w:hAnsi="Calibri" w:cs="Calibri"/>
          <w:sz w:val="18"/>
          <w:szCs w:val="18"/>
        </w:rPr>
        <w:t xml:space="preserve"> </w:t>
      </w:r>
      <w:r>
        <w:rPr>
          <w:rFonts w:ascii="Calibri" w:eastAsia="Calibri" w:hAnsi="Calibri" w:cs="Calibri"/>
          <w:sz w:val="18"/>
          <w:szCs w:val="18"/>
        </w:rPr>
        <w:t>ICRC, ACT Electricity Market Monitoring Report 2025, Figure 2.8.</w:t>
      </w:r>
    </w:p>
  </w:footnote>
  <w:footnote w:id="6">
    <w:p w14:paraId="7D08C383" w14:textId="62F6B566" w:rsidR="00011221" w:rsidRDefault="00011221" w:rsidP="00011221">
      <w:r>
        <w:rPr>
          <w:rStyle w:val="FootnoteReference"/>
        </w:rPr>
        <w:footnoteRef/>
      </w:r>
      <w:r w:rsidR="000245FC">
        <w:rPr>
          <w:rFonts w:ascii="Calibri" w:eastAsia="Calibri" w:hAnsi="Calibri" w:cs="Calibri"/>
          <w:sz w:val="18"/>
          <w:szCs w:val="18"/>
        </w:rPr>
        <w:t xml:space="preserve"> </w:t>
      </w:r>
      <w:r>
        <w:rPr>
          <w:rFonts w:ascii="Calibri" w:eastAsia="Calibri" w:hAnsi="Calibri" w:cs="Calibri"/>
          <w:sz w:val="18"/>
          <w:szCs w:val="18"/>
        </w:rPr>
        <w:t>ICRC, ACT Electricity Market Monitoring Report 2025, section 1.2 (data sources).</w:t>
      </w:r>
    </w:p>
  </w:footnote>
  <w:footnote w:id="7">
    <w:p w14:paraId="54417605" w14:textId="2D99F820" w:rsidR="00011221" w:rsidRDefault="00011221" w:rsidP="00011221">
      <w:r>
        <w:rPr>
          <w:rStyle w:val="FootnoteReference"/>
        </w:rPr>
        <w:footnoteRef/>
      </w:r>
      <w:r w:rsidR="000245FC">
        <w:rPr>
          <w:rFonts w:ascii="Calibri" w:eastAsia="Calibri" w:hAnsi="Calibri" w:cs="Calibri"/>
          <w:sz w:val="18"/>
          <w:szCs w:val="18"/>
        </w:rPr>
        <w:t xml:space="preserve"> </w:t>
      </w:r>
      <w:r>
        <w:rPr>
          <w:rFonts w:ascii="Calibri" w:eastAsia="Calibri" w:hAnsi="Calibri" w:cs="Calibri"/>
          <w:sz w:val="18"/>
          <w:szCs w:val="18"/>
        </w:rPr>
        <w:t>Competition and Consumer (Industry Code—Electricity Retail) Regulations 2019 (</w:t>
      </w:r>
      <w:proofErr w:type="spellStart"/>
      <w:r>
        <w:rPr>
          <w:rFonts w:ascii="Calibri" w:eastAsia="Calibri" w:hAnsi="Calibri" w:cs="Calibri"/>
          <w:sz w:val="18"/>
          <w:szCs w:val="18"/>
        </w:rPr>
        <w:t>Cth</w:t>
      </w:r>
      <w:proofErr w:type="spellEnd"/>
      <w:r>
        <w:rPr>
          <w:rFonts w:ascii="Calibri" w:eastAsia="Calibri" w:hAnsi="Calibri" w:cs="Calibri"/>
          <w:sz w:val="18"/>
          <w:szCs w:val="18"/>
        </w:rPr>
        <w:t>), as amended by the Competition and Consumer (Industry Code—Electricity Retail) Amendment Regulations 2026, s 9A; Explanatory Statement, p. 2 and items 39–44; DCCEEW, Review Outcomes: 2025 reforms to the Default Market Offer, 4 November 2025, pp. 6–8. See AER, Final determination 2026–27, pp. 15–18.</w:t>
      </w:r>
    </w:p>
  </w:footnote>
  <w:footnote w:id="8">
    <w:p w14:paraId="6E597A5A" w14:textId="06D0B6F3" w:rsidR="00011221" w:rsidRDefault="00011221" w:rsidP="00011221">
      <w:r>
        <w:rPr>
          <w:rStyle w:val="FootnoteReference"/>
        </w:rPr>
        <w:footnoteRef/>
      </w:r>
      <w:r w:rsidR="000245FC">
        <w:rPr>
          <w:rFonts w:ascii="Calibri" w:eastAsia="Calibri" w:hAnsi="Calibri" w:cs="Calibri"/>
          <w:sz w:val="18"/>
          <w:szCs w:val="18"/>
        </w:rPr>
        <w:t xml:space="preserve"> </w:t>
      </w:r>
      <w:r>
        <w:rPr>
          <w:rFonts w:ascii="Calibri" w:eastAsia="Calibri" w:hAnsi="Calibri" w:cs="Calibri"/>
          <w:sz w:val="18"/>
          <w:szCs w:val="18"/>
        </w:rPr>
        <w:t>ICRC, Retail electricity price investigation 2024–27: Final report, June 2024, p. 4.</w:t>
      </w:r>
    </w:p>
  </w:footnote>
  <w:footnote w:id="9">
    <w:p w14:paraId="79B7B50B" w14:textId="10073B28" w:rsidR="00011221" w:rsidRDefault="00011221" w:rsidP="00011221">
      <w:r>
        <w:rPr>
          <w:rStyle w:val="FootnoteReference"/>
        </w:rPr>
        <w:footnoteRef/>
      </w:r>
      <w:r w:rsidR="000245FC">
        <w:rPr>
          <w:rFonts w:ascii="Calibri" w:eastAsia="Calibri" w:hAnsi="Calibri" w:cs="Calibri"/>
          <w:sz w:val="18"/>
          <w:szCs w:val="18"/>
        </w:rPr>
        <w:t xml:space="preserve"> </w:t>
      </w:r>
      <w:r>
        <w:rPr>
          <w:rFonts w:ascii="Calibri" w:eastAsia="Calibri" w:hAnsi="Calibri" w:cs="Calibri"/>
          <w:sz w:val="18"/>
          <w:szCs w:val="18"/>
        </w:rPr>
        <w:t>ICRC, Standing offer prices for the supply of electricity to small customers from 1 July 2027: Issues paper (Report 5 of 2026), August 2026, section 4.2.7.</w:t>
      </w:r>
    </w:p>
  </w:footnote>
  <w:footnote w:id="10">
    <w:p w14:paraId="59A0D8FF" w14:textId="2A6BA549" w:rsidR="00011221" w:rsidRDefault="00011221" w:rsidP="00011221">
      <w:r>
        <w:rPr>
          <w:rStyle w:val="FootnoteReference"/>
        </w:rPr>
        <w:footnoteRef/>
      </w:r>
      <w:r w:rsidR="000245FC">
        <w:rPr>
          <w:rFonts w:ascii="Calibri" w:eastAsia="Calibri" w:hAnsi="Calibri" w:cs="Calibri"/>
          <w:sz w:val="18"/>
          <w:szCs w:val="18"/>
        </w:rPr>
        <w:t xml:space="preserve"> </w:t>
      </w:r>
      <w:r>
        <w:rPr>
          <w:rFonts w:ascii="Calibri" w:eastAsia="Calibri" w:hAnsi="Calibri" w:cs="Calibri"/>
          <w:sz w:val="18"/>
          <w:szCs w:val="18"/>
        </w:rPr>
        <w:t>ESC, Victorian Default Offer 2026–27: Draft decision paper, 12 March 2026 (retail operating costs of $148 per customer excluding GST, comprising cost to serve, $48 acquisition and retention and $35 bad debt); AER, Final determination 2026–27, Table 7.2 (retail and other costs plus bad debt, residential, excluding smart meter costs and CPI adjustment).</w:t>
      </w:r>
    </w:p>
  </w:footnote>
  <w:footnote w:id="11">
    <w:p w14:paraId="0AB193CB" w14:textId="63162508" w:rsidR="00011221" w:rsidRDefault="00011221" w:rsidP="00011221">
      <w:r>
        <w:rPr>
          <w:rStyle w:val="FootnoteReference"/>
        </w:rPr>
        <w:footnoteRef/>
      </w:r>
      <w:r w:rsidR="006320F4">
        <w:rPr>
          <w:rFonts w:ascii="Calibri" w:eastAsia="Calibri" w:hAnsi="Calibri" w:cs="Calibri"/>
          <w:sz w:val="18"/>
          <w:szCs w:val="18"/>
        </w:rPr>
        <w:t xml:space="preserve"> </w:t>
      </w:r>
      <w:r>
        <w:rPr>
          <w:rFonts w:ascii="Calibri" w:eastAsia="Calibri" w:hAnsi="Calibri" w:cs="Calibri"/>
          <w:sz w:val="18"/>
          <w:szCs w:val="18"/>
        </w:rPr>
        <w:t>ICRC, ACT Electricity Market Monitoring Report 2025, Figures 4.2 and 4.8.</w:t>
      </w:r>
    </w:p>
  </w:footnote>
  <w:footnote w:id="12">
    <w:p w14:paraId="597F8E76" w14:textId="63978097" w:rsidR="00011221" w:rsidRDefault="00011221" w:rsidP="00011221">
      <w:r>
        <w:rPr>
          <w:rStyle w:val="FootnoteReference"/>
        </w:rPr>
        <w:footnoteRef/>
      </w:r>
      <w:r w:rsidR="006320F4">
        <w:rPr>
          <w:rFonts w:ascii="Calibri" w:eastAsia="Calibri" w:hAnsi="Calibri" w:cs="Calibri"/>
          <w:sz w:val="18"/>
          <w:szCs w:val="18"/>
        </w:rPr>
        <w:t xml:space="preserve"> </w:t>
      </w:r>
      <w:r>
        <w:rPr>
          <w:rFonts w:ascii="Calibri" w:eastAsia="Calibri" w:hAnsi="Calibri" w:cs="Calibri"/>
          <w:sz w:val="18"/>
          <w:szCs w:val="18"/>
        </w:rPr>
        <w:t xml:space="preserve">AER, Default market </w:t>
      </w:r>
      <w:proofErr w:type="gramStart"/>
      <w:r>
        <w:rPr>
          <w:rFonts w:ascii="Calibri" w:eastAsia="Calibri" w:hAnsi="Calibri" w:cs="Calibri"/>
          <w:sz w:val="18"/>
          <w:szCs w:val="18"/>
        </w:rPr>
        <w:t>offer</w:t>
      </w:r>
      <w:proofErr w:type="gramEnd"/>
      <w:r>
        <w:rPr>
          <w:rFonts w:ascii="Calibri" w:eastAsia="Calibri" w:hAnsi="Calibri" w:cs="Calibri"/>
          <w:sz w:val="18"/>
          <w:szCs w:val="18"/>
        </w:rPr>
        <w:t xml:space="preserve"> prices 2026–27: Final determination, 26 May 2026, section 7.3.2 (pp. 64–65).</w:t>
      </w:r>
    </w:p>
  </w:footnote>
  <w:footnote w:id="13">
    <w:p w14:paraId="0D893C28" w14:textId="462D1525" w:rsidR="00011221" w:rsidRDefault="00011221" w:rsidP="00011221">
      <w:r>
        <w:rPr>
          <w:rStyle w:val="FootnoteReference"/>
        </w:rPr>
        <w:footnoteRef/>
      </w:r>
      <w:r w:rsidR="006320F4">
        <w:rPr>
          <w:rFonts w:ascii="Calibri" w:eastAsia="Calibri" w:hAnsi="Calibri" w:cs="Calibri"/>
          <w:sz w:val="18"/>
          <w:szCs w:val="18"/>
        </w:rPr>
        <w:t xml:space="preserve"> </w:t>
      </w:r>
      <w:r>
        <w:rPr>
          <w:rFonts w:ascii="Calibri" w:eastAsia="Calibri" w:hAnsi="Calibri" w:cs="Calibri"/>
          <w:sz w:val="18"/>
          <w:szCs w:val="18"/>
        </w:rPr>
        <w:t xml:space="preserve">AER, Default market </w:t>
      </w:r>
      <w:proofErr w:type="gramStart"/>
      <w:r>
        <w:rPr>
          <w:rFonts w:ascii="Calibri" w:eastAsia="Calibri" w:hAnsi="Calibri" w:cs="Calibri"/>
          <w:sz w:val="18"/>
          <w:szCs w:val="18"/>
        </w:rPr>
        <w:t>offer</w:t>
      </w:r>
      <w:proofErr w:type="gramEnd"/>
      <w:r>
        <w:rPr>
          <w:rFonts w:ascii="Calibri" w:eastAsia="Calibri" w:hAnsi="Calibri" w:cs="Calibri"/>
          <w:sz w:val="18"/>
          <w:szCs w:val="18"/>
        </w:rPr>
        <w:t xml:space="preserve"> prices 2026–27: Final determination, 26 May 2026, chapter 8 (pp. 70–74); ESC, Victorian Default Offer 2025–26 final decision, 21 May 2025.</w:t>
      </w:r>
    </w:p>
  </w:footnote>
  <w:footnote w:id="14">
    <w:p w14:paraId="64D58499" w14:textId="4A9102AF" w:rsidR="00011221" w:rsidRDefault="00011221" w:rsidP="00011221">
      <w:r>
        <w:rPr>
          <w:rStyle w:val="FootnoteReference"/>
        </w:rPr>
        <w:footnoteRef/>
      </w:r>
      <w:r w:rsidR="006320F4">
        <w:rPr>
          <w:rFonts w:ascii="Calibri" w:eastAsia="Calibri" w:hAnsi="Calibri" w:cs="Calibri"/>
          <w:sz w:val="18"/>
          <w:szCs w:val="18"/>
        </w:rPr>
        <w:t xml:space="preserve"> </w:t>
      </w:r>
      <w:r>
        <w:rPr>
          <w:rFonts w:ascii="Calibri" w:eastAsia="Calibri" w:hAnsi="Calibri" w:cs="Calibri"/>
          <w:sz w:val="18"/>
          <w:szCs w:val="18"/>
        </w:rPr>
        <w:t>ICRC, ACT Electricity Market Monitoring Report 2025, Figures 2.4 and 2.5 and accompanying text.</w:t>
      </w:r>
    </w:p>
  </w:footnote>
  <w:footnote w:id="15">
    <w:p w14:paraId="6E4CD904" w14:textId="3820D009" w:rsidR="00011221" w:rsidRDefault="00011221" w:rsidP="00011221">
      <w:r>
        <w:rPr>
          <w:rStyle w:val="FootnoteReference"/>
        </w:rPr>
        <w:footnoteRef/>
      </w:r>
      <w:r w:rsidR="006320F4">
        <w:rPr>
          <w:rFonts w:ascii="Calibri" w:eastAsia="Calibri" w:hAnsi="Calibri" w:cs="Calibri"/>
          <w:sz w:val="18"/>
          <w:szCs w:val="18"/>
        </w:rPr>
        <w:t xml:space="preserve"> </w:t>
      </w:r>
      <w:r>
        <w:rPr>
          <w:rFonts w:ascii="Calibri" w:eastAsia="Calibri" w:hAnsi="Calibri" w:cs="Calibri"/>
          <w:sz w:val="18"/>
          <w:szCs w:val="18"/>
        </w:rPr>
        <w:t>AER, (Retail) Exempt Selling Guideline, core exemption conditions on pricing; AER, Final determination 2026–27, p. 16 (extension of the DMO to embedded networks from DMO 9).</w:t>
      </w:r>
    </w:p>
  </w:footnote>
  <w:footnote w:id="16">
    <w:p w14:paraId="152E5CD3" w14:textId="5DD9C8A7" w:rsidR="00011221" w:rsidRDefault="00011221" w:rsidP="00011221">
      <w:r>
        <w:rPr>
          <w:rStyle w:val="FootnoteReference"/>
        </w:rPr>
        <w:footnoteRef/>
      </w:r>
      <w:r w:rsidR="006320F4">
        <w:rPr>
          <w:rFonts w:ascii="Calibri" w:eastAsia="Calibri" w:hAnsi="Calibri" w:cs="Calibri"/>
          <w:sz w:val="18"/>
          <w:szCs w:val="18"/>
        </w:rPr>
        <w:t xml:space="preserve"> </w:t>
      </w:r>
      <w:r>
        <w:rPr>
          <w:rFonts w:ascii="Calibri" w:eastAsia="Calibri" w:hAnsi="Calibri" w:cs="Calibri"/>
          <w:sz w:val="18"/>
          <w:szCs w:val="18"/>
        </w:rPr>
        <w:t>ICRC, ACT Electricity Market Monitoring Report 2025, Figure 2.2.</w:t>
      </w:r>
    </w:p>
  </w:footnote>
  <w:footnote w:id="17">
    <w:p w14:paraId="2EABD38F" w14:textId="06F39147" w:rsidR="00011221" w:rsidRDefault="00011221" w:rsidP="00011221">
      <w:r>
        <w:rPr>
          <w:rStyle w:val="FootnoteReference"/>
        </w:rPr>
        <w:footnoteRef/>
      </w:r>
      <w:r w:rsidR="006320F4">
        <w:rPr>
          <w:rFonts w:ascii="Calibri" w:eastAsia="Calibri" w:hAnsi="Calibri" w:cs="Calibri"/>
          <w:sz w:val="18"/>
          <w:szCs w:val="18"/>
        </w:rPr>
        <w:t xml:space="preserve"> </w:t>
      </w:r>
      <w:r>
        <w:rPr>
          <w:rFonts w:ascii="Calibri" w:eastAsia="Calibri" w:hAnsi="Calibri" w:cs="Calibri"/>
          <w:sz w:val="18"/>
          <w:szCs w:val="18"/>
        </w:rPr>
        <w:t>Energy Consumers Australia, Understanding and measuring energy hardship in Australia, July 2025 (national figures on housing efficiency and solar access by tenure).</w:t>
      </w:r>
    </w:p>
  </w:footnote>
  <w:footnote w:id="18">
    <w:p w14:paraId="10DFE4AD" w14:textId="491905C4" w:rsidR="00011221" w:rsidRDefault="00011221" w:rsidP="00011221">
      <w:r>
        <w:rPr>
          <w:rStyle w:val="FootnoteReference"/>
        </w:rPr>
        <w:footnoteRef/>
      </w:r>
      <w:r w:rsidR="006320F4">
        <w:rPr>
          <w:rFonts w:ascii="Calibri" w:eastAsia="Calibri" w:hAnsi="Calibri" w:cs="Calibri"/>
          <w:sz w:val="18"/>
          <w:szCs w:val="18"/>
        </w:rPr>
        <w:t xml:space="preserve"> </w:t>
      </w:r>
      <w:r>
        <w:rPr>
          <w:rFonts w:ascii="Calibri" w:eastAsia="Calibri" w:hAnsi="Calibri" w:cs="Calibri"/>
          <w:sz w:val="18"/>
          <w:szCs w:val="18"/>
        </w:rPr>
        <w:t xml:space="preserve">AER, Default market </w:t>
      </w:r>
      <w:proofErr w:type="gramStart"/>
      <w:r>
        <w:rPr>
          <w:rFonts w:ascii="Calibri" w:eastAsia="Calibri" w:hAnsi="Calibri" w:cs="Calibri"/>
          <w:sz w:val="18"/>
          <w:szCs w:val="18"/>
        </w:rPr>
        <w:t>offer</w:t>
      </w:r>
      <w:proofErr w:type="gramEnd"/>
      <w:r>
        <w:rPr>
          <w:rFonts w:ascii="Calibri" w:eastAsia="Calibri" w:hAnsi="Calibri" w:cs="Calibri"/>
          <w:sz w:val="18"/>
          <w:szCs w:val="18"/>
        </w:rPr>
        <w:t xml:space="preserve"> prices 2026–27: Final determination, 26 May 2026, sections 1.3.7, 3.6 and 10.2; Regulations s 11(2).</w:t>
      </w:r>
    </w:p>
  </w:footnote>
  <w:footnote w:id="19">
    <w:p w14:paraId="78547E83" w14:textId="5FFF1A26" w:rsidR="00011221" w:rsidRDefault="00011221" w:rsidP="00011221">
      <w:r>
        <w:rPr>
          <w:rStyle w:val="FootnoteReference"/>
        </w:rPr>
        <w:footnoteRef/>
      </w:r>
      <w:r w:rsidR="006320F4">
        <w:rPr>
          <w:rFonts w:ascii="Calibri" w:eastAsia="Calibri" w:hAnsi="Calibri" w:cs="Calibri"/>
          <w:sz w:val="18"/>
          <w:szCs w:val="18"/>
        </w:rPr>
        <w:t xml:space="preserve"> </w:t>
      </w:r>
      <w:r>
        <w:rPr>
          <w:rFonts w:ascii="Calibri" w:eastAsia="Calibri" w:hAnsi="Calibri" w:cs="Calibri"/>
          <w:sz w:val="18"/>
          <w:szCs w:val="18"/>
        </w:rPr>
        <w:t>AEMC, National Electricity Amendment (Accelerating Smart Meter Deployment) Rule 2024, final determination, November 2024; the explicit informed consent requirement commenced 1 December 2025 (ICRC, Market Monitoring Report 2025, footnote 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1AB7DC" w14:textId="18A1782E" w:rsidR="00B50635" w:rsidRDefault="008F38A0" w:rsidP="00B50635">
    <w:pPr>
      <w:pStyle w:val="Header"/>
      <w:tabs>
        <w:tab w:val="clear" w:pos="4513"/>
        <w:tab w:val="clear" w:pos="9026"/>
        <w:tab w:val="left" w:pos="2096"/>
      </w:tabs>
    </w:pPr>
    <w:r>
      <w:rPr>
        <w:noProof/>
      </w:rPr>
      <w:drawing>
        <wp:anchor distT="0" distB="0" distL="114300" distR="114300" simplePos="0" relativeHeight="251658243" behindDoc="0" locked="0" layoutInCell="1" allowOverlap="1" wp14:anchorId="058C3BA8" wp14:editId="6AE09EDC">
          <wp:simplePos x="0" y="0"/>
          <wp:positionH relativeFrom="column">
            <wp:posOffset>0</wp:posOffset>
          </wp:positionH>
          <wp:positionV relativeFrom="paragraph">
            <wp:posOffset>179510</wp:posOffset>
          </wp:positionV>
          <wp:extent cx="1682750" cy="894080"/>
          <wp:effectExtent l="0" t="0" r="635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1">
                    <a:extLst>
                      <a:ext uri="{28A0092B-C50C-407E-A947-70E740481C1C}">
                        <a14:useLocalDpi xmlns:a14="http://schemas.microsoft.com/office/drawing/2010/main" val="0"/>
                      </a:ext>
                    </a:extLst>
                  </a:blip>
                  <a:srcRect l="8779" t="13141" r="8942" b="14470"/>
                  <a:stretch/>
                </pic:blipFill>
                <pic:spPr bwMode="auto">
                  <a:xfrm>
                    <a:off x="0" y="0"/>
                    <a:ext cx="1682750" cy="8940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BFCB70" w14:textId="0878D7D9" w:rsidR="00B50635" w:rsidRDefault="00B77E46">
    <w:pPr>
      <w:pStyle w:val="Header"/>
    </w:pPr>
    <w:r w:rsidRPr="00B31509">
      <w:rPr>
        <w:noProof/>
      </w:rPr>
      <mc:AlternateContent>
        <mc:Choice Requires="wps">
          <w:drawing>
            <wp:anchor distT="0" distB="0" distL="114300" distR="114300" simplePos="0" relativeHeight="251658240" behindDoc="0" locked="0" layoutInCell="1" allowOverlap="1" wp14:anchorId="44191C09" wp14:editId="057584C9">
              <wp:simplePos x="0" y="0"/>
              <wp:positionH relativeFrom="column">
                <wp:posOffset>5028565</wp:posOffset>
              </wp:positionH>
              <wp:positionV relativeFrom="paragraph">
                <wp:posOffset>231429</wp:posOffset>
              </wp:positionV>
              <wp:extent cx="1655465" cy="988291"/>
              <wp:effectExtent l="0" t="0" r="8255" b="2540"/>
              <wp:wrapNone/>
              <wp:docPr id="9" name="Text Box 9"/>
              <wp:cNvGraphicFramePr/>
              <a:graphic xmlns:a="http://schemas.openxmlformats.org/drawingml/2006/main">
                <a:graphicData uri="http://schemas.microsoft.com/office/word/2010/wordprocessingShape">
                  <wps:wsp>
                    <wps:cNvSpPr txBox="1"/>
                    <wps:spPr>
                      <a:xfrm>
                        <a:off x="0" y="0"/>
                        <a:ext cx="1655465" cy="988291"/>
                      </a:xfrm>
                      <a:prstGeom prst="rect">
                        <a:avLst/>
                      </a:prstGeom>
                      <a:noFill/>
                      <a:ln w="6350">
                        <a:noFill/>
                      </a:ln>
                    </wps:spPr>
                    <wps:txbx>
                      <w:txbxContent>
                        <w:p w14:paraId="3659B31A" w14:textId="15DDE10F" w:rsidR="001B0D65" w:rsidRPr="00B77E46" w:rsidRDefault="001B0D65" w:rsidP="00B77E46">
                          <w:pPr>
                            <w:pStyle w:val="Pa1"/>
                            <w:spacing w:after="120" w:line="200" w:lineRule="atLeast"/>
                            <w:rPr>
                              <w:rStyle w:val="A1"/>
                              <w:rFonts w:ascii="Arial" w:hAnsi="Arial" w:cs="Arial"/>
                              <w:sz w:val="20"/>
                              <w:szCs w:val="20"/>
                            </w:rPr>
                          </w:pPr>
                          <w:r w:rsidRPr="00B77E46">
                            <w:rPr>
                              <w:rStyle w:val="A1"/>
                              <w:rFonts w:ascii="Arial" w:hAnsi="Arial" w:cs="Arial"/>
                              <w:sz w:val="20"/>
                              <w:szCs w:val="20"/>
                            </w:rPr>
                            <w:t>1/6 Gritten St</w:t>
                          </w:r>
                          <w:r w:rsidRPr="00B77E46">
                            <w:rPr>
                              <w:rStyle w:val="A1"/>
                              <w:rFonts w:ascii="Arial" w:hAnsi="Arial" w:cs="Arial"/>
                              <w:sz w:val="20"/>
                              <w:szCs w:val="20"/>
                            </w:rPr>
                            <w:br/>
                            <w:t>Weston ACT 2611</w:t>
                          </w:r>
                        </w:p>
                        <w:p w14:paraId="0EB959CE" w14:textId="482C6F3B" w:rsidR="00B50635" w:rsidRPr="00B77E46" w:rsidRDefault="00B50635" w:rsidP="00B77E46">
                          <w:pPr>
                            <w:pStyle w:val="Pa1"/>
                            <w:spacing w:after="120" w:line="200" w:lineRule="atLeast"/>
                            <w:rPr>
                              <w:rFonts w:ascii="Arial" w:hAnsi="Arial" w:cs="Arial"/>
                              <w:color w:val="211D1E"/>
                              <w:sz w:val="20"/>
                              <w:szCs w:val="20"/>
                            </w:rPr>
                          </w:pPr>
                          <w:r w:rsidRPr="00B77E46">
                            <w:rPr>
                              <w:rStyle w:val="A1"/>
                              <w:rFonts w:ascii="Arial" w:hAnsi="Arial" w:cs="Arial"/>
                              <w:sz w:val="20"/>
                              <w:szCs w:val="20"/>
                            </w:rPr>
                            <w:t>02 62</w:t>
                          </w:r>
                          <w:r w:rsidR="001B0D65" w:rsidRPr="00B77E46">
                            <w:rPr>
                              <w:rStyle w:val="A1"/>
                              <w:rFonts w:ascii="Arial" w:hAnsi="Arial" w:cs="Arial"/>
                              <w:sz w:val="20"/>
                              <w:szCs w:val="20"/>
                            </w:rPr>
                            <w:t>02</w:t>
                          </w:r>
                          <w:r w:rsidRPr="00B77E46">
                            <w:rPr>
                              <w:rStyle w:val="A1"/>
                              <w:rFonts w:ascii="Arial" w:hAnsi="Arial" w:cs="Arial"/>
                              <w:sz w:val="20"/>
                              <w:szCs w:val="20"/>
                            </w:rPr>
                            <w:t xml:space="preserve"> </w:t>
                          </w:r>
                          <w:r w:rsidR="001B0D65" w:rsidRPr="00B77E46">
                            <w:rPr>
                              <w:rStyle w:val="A1"/>
                              <w:rFonts w:ascii="Arial" w:hAnsi="Arial" w:cs="Arial"/>
                              <w:sz w:val="20"/>
                              <w:szCs w:val="20"/>
                            </w:rPr>
                            <w:t>7200</w:t>
                          </w:r>
                          <w:r w:rsidRPr="00B77E46">
                            <w:rPr>
                              <w:rStyle w:val="A1"/>
                              <w:rFonts w:ascii="Arial" w:hAnsi="Arial" w:cs="Arial"/>
                              <w:sz w:val="20"/>
                              <w:szCs w:val="20"/>
                            </w:rPr>
                            <w:br/>
                          </w:r>
                          <w:r w:rsidR="001B0D65" w:rsidRPr="00B77E46">
                            <w:rPr>
                              <w:rStyle w:val="A1"/>
                              <w:rFonts w:ascii="Arial" w:hAnsi="Arial" w:cs="Arial"/>
                              <w:sz w:val="20"/>
                              <w:szCs w:val="20"/>
                            </w:rPr>
                            <w:t>actcoss</w:t>
                          </w:r>
                          <w:r w:rsidRPr="00B77E46">
                            <w:rPr>
                              <w:rStyle w:val="A1"/>
                              <w:rFonts w:ascii="Arial" w:hAnsi="Arial" w:cs="Arial"/>
                              <w:sz w:val="20"/>
                              <w:szCs w:val="20"/>
                            </w:rPr>
                            <w:t>@</w:t>
                          </w:r>
                          <w:r w:rsidR="001B0D65" w:rsidRPr="00B77E46">
                            <w:rPr>
                              <w:rStyle w:val="A1"/>
                              <w:rFonts w:ascii="Arial" w:hAnsi="Arial" w:cs="Arial"/>
                              <w:sz w:val="20"/>
                              <w:szCs w:val="20"/>
                            </w:rPr>
                            <w:t>actcoss.org.au</w:t>
                          </w:r>
                        </w:p>
                        <w:p w14:paraId="41447DAC" w14:textId="41A6DB46" w:rsidR="00B50635" w:rsidRPr="00B77E46" w:rsidRDefault="001B0D65" w:rsidP="00B77E46">
                          <w:pPr>
                            <w:pStyle w:val="Pa1"/>
                            <w:spacing w:after="120" w:line="200" w:lineRule="atLeast"/>
                            <w:rPr>
                              <w:rFonts w:ascii="Arial" w:hAnsi="Arial" w:cs="Arial"/>
                              <w:color w:val="211D1E"/>
                              <w:sz w:val="20"/>
                              <w:szCs w:val="20"/>
                            </w:rPr>
                          </w:pPr>
                          <w:r w:rsidRPr="00B77E46">
                            <w:rPr>
                              <w:rStyle w:val="A1"/>
                              <w:rFonts w:ascii="Arial" w:hAnsi="Arial" w:cs="Arial"/>
                              <w:sz w:val="20"/>
                              <w:szCs w:val="20"/>
                            </w:rPr>
                            <w:t>actcoss.org</w:t>
                          </w:r>
                          <w:r w:rsidR="00B50635" w:rsidRPr="00B77E46">
                            <w:rPr>
                              <w:rStyle w:val="A1"/>
                              <w:rFonts w:ascii="Arial" w:hAnsi="Arial" w:cs="Arial"/>
                              <w:sz w:val="20"/>
                              <w:szCs w:val="20"/>
                            </w:rPr>
                            <w:t>.au</w:t>
                          </w:r>
                          <w:r w:rsidR="00B77E46" w:rsidRPr="00B77E46">
                            <w:rPr>
                              <w:rStyle w:val="A1"/>
                              <w:rFonts w:ascii="Arial" w:hAnsi="Arial" w:cs="Arial"/>
                              <w:sz w:val="20"/>
                              <w:szCs w:val="20"/>
                            </w:rPr>
                            <w:br/>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type w14:anchorId="44191C09" id="_x0000_t202" coordsize="21600,21600" o:spt="202" path="m,l,21600r21600,l21600,xe">
              <v:stroke joinstyle="miter"/>
              <v:path gradientshapeok="t" o:connecttype="rect"/>
            </v:shapetype>
            <v:shape id="Text Box 9" o:spid="_x0000_s1026" type="#_x0000_t202" style="position:absolute;margin-left:395.95pt;margin-top:18.2pt;width:130.35pt;height:77.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" filled="f" stroked="f" strokeweight=".5pt">
              <v:textbox inset="0,0,0,0">
                <w:txbxContent>
                  <w:p w14:paraId="3659B31A" w14:textId="15DDE10F" w:rsidR="001B0D65" w:rsidRPr="00B77E46" w:rsidRDefault="001B0D65" w:rsidP="00B77E46">
                    <w:pPr>
                      <w:pStyle w:val="Pa1"/>
                      <w:spacing w:after="120" w:line="200" w:lineRule="atLeast"/>
                      <w:rPr>
                        <w:rStyle w:val="A1"/>
                        <w:rFonts w:ascii="Arial" w:hAnsi="Arial" w:cs="Arial"/>
                        <w:sz w:val="20"/>
                        <w:szCs w:val="20"/>
                      </w:rPr>
                    </w:pPr>
                    <w:r w:rsidRPr="00B77E46">
                      <w:rPr>
                        <w:rStyle w:val="A1"/>
                        <w:rFonts w:ascii="Arial" w:hAnsi="Arial" w:cs="Arial"/>
                        <w:sz w:val="20"/>
                        <w:szCs w:val="20"/>
                      </w:rPr>
                      <w:t>1/6 Gritten St</w:t>
                    </w:r>
                    <w:r w:rsidRPr="00B77E46">
                      <w:rPr>
                        <w:rStyle w:val="A1"/>
                        <w:rFonts w:ascii="Arial" w:hAnsi="Arial" w:cs="Arial"/>
                        <w:sz w:val="20"/>
                        <w:szCs w:val="20"/>
                      </w:rPr>
                      <w:br/>
                      <w:t>Weston ACT 2611</w:t>
                    </w:r>
                  </w:p>
                  <w:p w14:paraId="0EB959CE" w14:textId="482C6F3B" w:rsidR="00B50635" w:rsidRPr="00B77E46" w:rsidRDefault="00B50635" w:rsidP="00B77E46">
                    <w:pPr>
                      <w:pStyle w:val="Pa1"/>
                      <w:spacing w:after="120" w:line="200" w:lineRule="atLeast"/>
                      <w:rPr>
                        <w:rFonts w:ascii="Arial" w:hAnsi="Arial" w:cs="Arial"/>
                        <w:color w:val="211D1E"/>
                        <w:sz w:val="20"/>
                        <w:szCs w:val="20"/>
                      </w:rPr>
                    </w:pPr>
                    <w:r w:rsidRPr="00B77E46">
                      <w:rPr>
                        <w:rStyle w:val="A1"/>
                        <w:rFonts w:ascii="Arial" w:hAnsi="Arial" w:cs="Arial"/>
                        <w:sz w:val="20"/>
                        <w:szCs w:val="20"/>
                      </w:rPr>
                      <w:t>02 62</w:t>
                    </w:r>
                    <w:r w:rsidR="001B0D65" w:rsidRPr="00B77E46">
                      <w:rPr>
                        <w:rStyle w:val="A1"/>
                        <w:rFonts w:ascii="Arial" w:hAnsi="Arial" w:cs="Arial"/>
                        <w:sz w:val="20"/>
                        <w:szCs w:val="20"/>
                      </w:rPr>
                      <w:t>02</w:t>
                    </w:r>
                    <w:r w:rsidRPr="00B77E46">
                      <w:rPr>
                        <w:rStyle w:val="A1"/>
                        <w:rFonts w:ascii="Arial" w:hAnsi="Arial" w:cs="Arial"/>
                        <w:sz w:val="20"/>
                        <w:szCs w:val="20"/>
                      </w:rPr>
                      <w:t xml:space="preserve"> </w:t>
                    </w:r>
                    <w:r w:rsidR="001B0D65" w:rsidRPr="00B77E46">
                      <w:rPr>
                        <w:rStyle w:val="A1"/>
                        <w:rFonts w:ascii="Arial" w:hAnsi="Arial" w:cs="Arial"/>
                        <w:sz w:val="20"/>
                        <w:szCs w:val="20"/>
                      </w:rPr>
                      <w:t>7200</w:t>
                    </w:r>
                    <w:r w:rsidRPr="00B77E46">
                      <w:rPr>
                        <w:rStyle w:val="A1"/>
                        <w:rFonts w:ascii="Arial" w:hAnsi="Arial" w:cs="Arial"/>
                        <w:sz w:val="20"/>
                        <w:szCs w:val="20"/>
                      </w:rPr>
                      <w:br/>
                    </w:r>
                    <w:r w:rsidR="001B0D65" w:rsidRPr="00B77E46">
                      <w:rPr>
                        <w:rStyle w:val="A1"/>
                        <w:rFonts w:ascii="Arial" w:hAnsi="Arial" w:cs="Arial"/>
                        <w:sz w:val="20"/>
                        <w:szCs w:val="20"/>
                      </w:rPr>
                      <w:t>actcoss</w:t>
                    </w:r>
                    <w:r w:rsidRPr="00B77E46">
                      <w:rPr>
                        <w:rStyle w:val="A1"/>
                        <w:rFonts w:ascii="Arial" w:hAnsi="Arial" w:cs="Arial"/>
                        <w:sz w:val="20"/>
                        <w:szCs w:val="20"/>
                      </w:rPr>
                      <w:t>@</w:t>
                    </w:r>
                    <w:r w:rsidR="001B0D65" w:rsidRPr="00B77E46">
                      <w:rPr>
                        <w:rStyle w:val="A1"/>
                        <w:rFonts w:ascii="Arial" w:hAnsi="Arial" w:cs="Arial"/>
                        <w:sz w:val="20"/>
                        <w:szCs w:val="20"/>
                      </w:rPr>
                      <w:t>actcoss.org.au</w:t>
                    </w:r>
                  </w:p>
                  <w:p w14:paraId="41447DAC" w14:textId="41A6DB46" w:rsidR="00B50635" w:rsidRPr="00B77E46" w:rsidRDefault="001B0D65" w:rsidP="00B77E46">
                    <w:pPr>
                      <w:pStyle w:val="Pa1"/>
                      <w:spacing w:after="120" w:line="200" w:lineRule="atLeast"/>
                      <w:rPr>
                        <w:rFonts w:ascii="Arial" w:hAnsi="Arial" w:cs="Arial"/>
                        <w:color w:val="211D1E"/>
                        <w:sz w:val="20"/>
                        <w:szCs w:val="20"/>
                      </w:rPr>
                    </w:pPr>
                    <w:r w:rsidRPr="00B77E46">
                      <w:rPr>
                        <w:rStyle w:val="A1"/>
                        <w:rFonts w:ascii="Arial" w:hAnsi="Arial" w:cs="Arial"/>
                        <w:sz w:val="20"/>
                        <w:szCs w:val="20"/>
                      </w:rPr>
                      <w:t>actcoss.org</w:t>
                    </w:r>
                    <w:r w:rsidR="00B50635" w:rsidRPr="00B77E46">
                      <w:rPr>
                        <w:rStyle w:val="A1"/>
                        <w:rFonts w:ascii="Arial" w:hAnsi="Arial" w:cs="Arial"/>
                        <w:sz w:val="20"/>
                        <w:szCs w:val="20"/>
                      </w:rPr>
                      <w:t>.au</w:t>
                    </w:r>
                    <w:r w:rsidR="00B77E46" w:rsidRPr="00B77E46">
                      <w:rPr>
                        <w:rStyle w:val="A1"/>
                        <w:rFonts w:ascii="Arial" w:hAnsi="Arial" w:cs="Arial"/>
                        <w:sz w:val="20"/>
                        <w:szCs w:val="20"/>
                      </w:rPr>
                      <w:br/>
                    </w:r>
                  </w:p>
                </w:txbxContent>
              </v:textbox>
            </v:shape>
          </w:pict>
        </mc:Fallback>
      </mc:AlternateContent>
    </w:r>
    <w:r w:rsidR="008F38A0">
      <w:rPr>
        <w:noProof/>
      </w:rPr>
      <w:drawing>
        <wp:anchor distT="0" distB="0" distL="114300" distR="114300" simplePos="0" relativeHeight="251658242" behindDoc="0" locked="0" layoutInCell="1" allowOverlap="1" wp14:anchorId="31356925" wp14:editId="324A2DAF">
          <wp:simplePos x="0" y="0"/>
          <wp:positionH relativeFrom="column">
            <wp:posOffset>0</wp:posOffset>
          </wp:positionH>
          <wp:positionV relativeFrom="paragraph">
            <wp:posOffset>157480</wp:posOffset>
          </wp:positionV>
          <wp:extent cx="1682750" cy="894080"/>
          <wp:effectExtent l="0" t="0" r="635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1">
                    <a:extLst>
                      <a:ext uri="{28A0092B-C50C-407E-A947-70E740481C1C}">
                        <a14:useLocalDpi xmlns:a14="http://schemas.microsoft.com/office/drawing/2010/main" val="0"/>
                      </a:ext>
                    </a:extLst>
                  </a:blip>
                  <a:srcRect l="8779" t="13141" r="8942" b="14470"/>
                  <a:stretch/>
                </pic:blipFill>
                <pic:spPr bwMode="auto">
                  <a:xfrm>
                    <a:off x="0" y="0"/>
                    <a:ext cx="1682750" cy="8940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50F59"/>
    <w:multiLevelType w:val="hybridMultilevel"/>
    <w:tmpl w:val="0450E252"/>
    <w:lvl w:ilvl="0" w:tplc="85CED110">
      <w:start w:val="1"/>
      <w:numFmt w:val="bullet"/>
      <w:lvlText w:val=""/>
      <w:lvlJc w:val="left"/>
      <w:pPr>
        <w:ind w:left="720" w:hanging="360"/>
      </w:pPr>
      <w:rPr>
        <w:rFonts w:ascii="Symbol" w:hAnsi="Symbol"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20505198"/>
    <w:multiLevelType w:val="multilevel"/>
    <w:tmpl w:val="06BA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2B401FE"/>
    <w:multiLevelType w:val="multilevel"/>
    <w:tmpl w:val="5B58A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A271C10"/>
    <w:multiLevelType w:val="multilevel"/>
    <w:tmpl w:val="9FE48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E8E181C"/>
    <w:multiLevelType w:val="hybridMultilevel"/>
    <w:tmpl w:val="D25CD524"/>
    <w:lvl w:ilvl="0" w:tplc="D2B63036">
      <w:numFmt w:val="bullet"/>
      <w:lvlText w:val="-"/>
      <w:lvlJc w:val="left"/>
      <w:pPr>
        <w:ind w:left="720" w:hanging="360"/>
      </w:pPr>
      <w:rPr>
        <w:rFonts w:ascii="Arial" w:eastAsiaTheme="minorEastAsia" w:hAnsi="Arial" w:cs="Arial" w:hint="default"/>
        <w:i/>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48DE3B82"/>
    <w:multiLevelType w:val="hybridMultilevel"/>
    <w:tmpl w:val="49FA49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D521870"/>
    <w:multiLevelType w:val="hybridMultilevel"/>
    <w:tmpl w:val="7DD287BC"/>
    <w:lvl w:ilvl="0" w:tplc="DE749514">
      <w:start w:val="1"/>
      <w:numFmt w:val="decimal"/>
      <w:lvlText w:val="%1."/>
      <w:lvlJc w:val="left"/>
      <w:pPr>
        <w:spacing w:after="26" w:line="214" w:lineRule="auto"/>
        <w:ind w:left="360" w:hanging="300"/>
      </w:pPr>
    </w:lvl>
    <w:lvl w:ilvl="1" w:tplc="924AC668">
      <w:numFmt w:val="decimal"/>
      <w:lvlText w:val=""/>
      <w:lvlJc w:val="left"/>
    </w:lvl>
    <w:lvl w:ilvl="2" w:tplc="17A6967C">
      <w:numFmt w:val="decimal"/>
      <w:lvlText w:val=""/>
      <w:lvlJc w:val="left"/>
    </w:lvl>
    <w:lvl w:ilvl="3" w:tplc="79B46388">
      <w:numFmt w:val="decimal"/>
      <w:lvlText w:val=""/>
      <w:lvlJc w:val="left"/>
    </w:lvl>
    <w:lvl w:ilvl="4" w:tplc="E57C5A20">
      <w:numFmt w:val="decimal"/>
      <w:lvlText w:val=""/>
      <w:lvlJc w:val="left"/>
    </w:lvl>
    <w:lvl w:ilvl="5" w:tplc="ECB6BB44">
      <w:numFmt w:val="decimal"/>
      <w:lvlText w:val=""/>
      <w:lvlJc w:val="left"/>
    </w:lvl>
    <w:lvl w:ilvl="6" w:tplc="8FBA35EE">
      <w:numFmt w:val="decimal"/>
      <w:lvlText w:val=""/>
      <w:lvlJc w:val="left"/>
    </w:lvl>
    <w:lvl w:ilvl="7" w:tplc="734C970C">
      <w:numFmt w:val="decimal"/>
      <w:lvlText w:val=""/>
      <w:lvlJc w:val="left"/>
    </w:lvl>
    <w:lvl w:ilvl="8" w:tplc="191C9802">
      <w:numFmt w:val="decimal"/>
      <w:lvlText w:val=""/>
      <w:lvlJc w:val="left"/>
    </w:lvl>
  </w:abstractNum>
  <w:abstractNum w:abstractNumId="7" w15:restartNumberingAfterBreak="0">
    <w:nsid w:val="59F00523"/>
    <w:multiLevelType w:val="multilevel"/>
    <w:tmpl w:val="8FAE7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7502855"/>
    <w:multiLevelType w:val="hybridMultilevel"/>
    <w:tmpl w:val="1722EB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9C75062"/>
    <w:multiLevelType w:val="hybridMultilevel"/>
    <w:tmpl w:val="E9BA44D4"/>
    <w:lvl w:ilvl="0" w:tplc="EE8278B2">
      <w:start w:val="1"/>
      <w:numFmt w:val="decimal"/>
      <w:lvlText w:val="%1."/>
      <w:lvlJc w:val="left"/>
      <w:pPr>
        <w:spacing w:after="26" w:line="214" w:lineRule="auto"/>
        <w:ind w:left="360" w:hanging="300"/>
      </w:pPr>
    </w:lvl>
    <w:lvl w:ilvl="1" w:tplc="A572B26E">
      <w:numFmt w:val="decimal"/>
      <w:lvlText w:val=""/>
      <w:lvlJc w:val="left"/>
    </w:lvl>
    <w:lvl w:ilvl="2" w:tplc="9D1A8A60">
      <w:numFmt w:val="decimal"/>
      <w:lvlText w:val=""/>
      <w:lvlJc w:val="left"/>
    </w:lvl>
    <w:lvl w:ilvl="3" w:tplc="140EAEE2">
      <w:numFmt w:val="decimal"/>
      <w:lvlText w:val=""/>
      <w:lvlJc w:val="left"/>
    </w:lvl>
    <w:lvl w:ilvl="4" w:tplc="7F3A4E92">
      <w:numFmt w:val="decimal"/>
      <w:lvlText w:val=""/>
      <w:lvlJc w:val="left"/>
    </w:lvl>
    <w:lvl w:ilvl="5" w:tplc="B9629BDE">
      <w:numFmt w:val="decimal"/>
      <w:lvlText w:val=""/>
      <w:lvlJc w:val="left"/>
    </w:lvl>
    <w:lvl w:ilvl="6" w:tplc="00E80352">
      <w:numFmt w:val="decimal"/>
      <w:lvlText w:val=""/>
      <w:lvlJc w:val="left"/>
    </w:lvl>
    <w:lvl w:ilvl="7" w:tplc="C7966372">
      <w:numFmt w:val="decimal"/>
      <w:lvlText w:val=""/>
      <w:lvlJc w:val="left"/>
    </w:lvl>
    <w:lvl w:ilvl="8" w:tplc="77A8F33C">
      <w:numFmt w:val="decimal"/>
      <w:lvlText w:val=""/>
      <w:lvlJc w:val="left"/>
    </w:lvl>
  </w:abstractNum>
  <w:abstractNum w:abstractNumId="10" w15:restartNumberingAfterBreak="0">
    <w:nsid w:val="6D2A375A"/>
    <w:multiLevelType w:val="multilevel"/>
    <w:tmpl w:val="8FDA2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048482C"/>
    <w:multiLevelType w:val="hybridMultilevel"/>
    <w:tmpl w:val="CC905C1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1603144543">
    <w:abstractNumId w:val="1"/>
  </w:num>
  <w:num w:numId="2" w16cid:durableId="151027209">
    <w:abstractNumId w:val="4"/>
  </w:num>
  <w:num w:numId="3" w16cid:durableId="430394686">
    <w:abstractNumId w:val="0"/>
  </w:num>
  <w:num w:numId="4" w16cid:durableId="982153353">
    <w:abstractNumId w:val="11"/>
  </w:num>
  <w:num w:numId="5" w16cid:durableId="311301655">
    <w:abstractNumId w:val="7"/>
  </w:num>
  <w:num w:numId="6" w16cid:durableId="719520437">
    <w:abstractNumId w:val="10"/>
  </w:num>
  <w:num w:numId="7" w16cid:durableId="1013339479">
    <w:abstractNumId w:val="2"/>
  </w:num>
  <w:num w:numId="8" w16cid:durableId="1779761691">
    <w:abstractNumId w:val="3"/>
  </w:num>
  <w:num w:numId="9" w16cid:durableId="556941226">
    <w:abstractNumId w:val="6"/>
    <w:lvlOverride w:ilvl="0">
      <w:startOverride w:val="1"/>
    </w:lvlOverride>
  </w:num>
  <w:num w:numId="10" w16cid:durableId="1723482655">
    <w:abstractNumId w:val="9"/>
    <w:lvlOverride w:ilvl="0">
      <w:startOverride w:val="1"/>
    </w:lvlOverride>
  </w:num>
  <w:num w:numId="11" w16cid:durableId="484708974">
    <w:abstractNumId w:val="5"/>
  </w:num>
  <w:num w:numId="12" w16cid:durableId="49561246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0635"/>
    <w:rsid w:val="00010A62"/>
    <w:rsid w:val="00011221"/>
    <w:rsid w:val="00020AEA"/>
    <w:rsid w:val="00023569"/>
    <w:rsid w:val="000245FC"/>
    <w:rsid w:val="00025D07"/>
    <w:rsid w:val="000300B6"/>
    <w:rsid w:val="00037F81"/>
    <w:rsid w:val="00040E12"/>
    <w:rsid w:val="00051AD9"/>
    <w:rsid w:val="00051E61"/>
    <w:rsid w:val="00056A1D"/>
    <w:rsid w:val="00060269"/>
    <w:rsid w:val="000620C6"/>
    <w:rsid w:val="00062B86"/>
    <w:rsid w:val="0006383F"/>
    <w:rsid w:val="000642B5"/>
    <w:rsid w:val="00064C8B"/>
    <w:rsid w:val="000668DF"/>
    <w:rsid w:val="000674AB"/>
    <w:rsid w:val="00071145"/>
    <w:rsid w:val="00071AE3"/>
    <w:rsid w:val="000722FA"/>
    <w:rsid w:val="0007277C"/>
    <w:rsid w:val="0007283A"/>
    <w:rsid w:val="00081008"/>
    <w:rsid w:val="00085A0A"/>
    <w:rsid w:val="00086A5B"/>
    <w:rsid w:val="00087589"/>
    <w:rsid w:val="00090153"/>
    <w:rsid w:val="00093516"/>
    <w:rsid w:val="00095A6C"/>
    <w:rsid w:val="000A3747"/>
    <w:rsid w:val="000A426F"/>
    <w:rsid w:val="000B3C7E"/>
    <w:rsid w:val="000B6674"/>
    <w:rsid w:val="000C12E5"/>
    <w:rsid w:val="000C6E97"/>
    <w:rsid w:val="000D1C16"/>
    <w:rsid w:val="000D3764"/>
    <w:rsid w:val="000E1B25"/>
    <w:rsid w:val="000E1B73"/>
    <w:rsid w:val="000F05A6"/>
    <w:rsid w:val="000F6910"/>
    <w:rsid w:val="00100441"/>
    <w:rsid w:val="001021EA"/>
    <w:rsid w:val="001049C7"/>
    <w:rsid w:val="0011041E"/>
    <w:rsid w:val="00115843"/>
    <w:rsid w:val="00120B6D"/>
    <w:rsid w:val="00126FD8"/>
    <w:rsid w:val="0013030F"/>
    <w:rsid w:val="001303AA"/>
    <w:rsid w:val="00130D8D"/>
    <w:rsid w:val="00133A5E"/>
    <w:rsid w:val="0013705F"/>
    <w:rsid w:val="00141C76"/>
    <w:rsid w:val="001428EB"/>
    <w:rsid w:val="00145B57"/>
    <w:rsid w:val="0015408D"/>
    <w:rsid w:val="00155D22"/>
    <w:rsid w:val="00156288"/>
    <w:rsid w:val="00157115"/>
    <w:rsid w:val="00163114"/>
    <w:rsid w:val="00164A79"/>
    <w:rsid w:val="00165059"/>
    <w:rsid w:val="001663F2"/>
    <w:rsid w:val="00170AF5"/>
    <w:rsid w:val="00172773"/>
    <w:rsid w:val="00184D79"/>
    <w:rsid w:val="001860FF"/>
    <w:rsid w:val="00190B4B"/>
    <w:rsid w:val="0019423F"/>
    <w:rsid w:val="00196731"/>
    <w:rsid w:val="001978E2"/>
    <w:rsid w:val="001A2C79"/>
    <w:rsid w:val="001A306D"/>
    <w:rsid w:val="001B0D65"/>
    <w:rsid w:val="001B1BB7"/>
    <w:rsid w:val="001B3497"/>
    <w:rsid w:val="001B50E9"/>
    <w:rsid w:val="001C0051"/>
    <w:rsid w:val="001C22CF"/>
    <w:rsid w:val="001C6454"/>
    <w:rsid w:val="001D38E7"/>
    <w:rsid w:val="001E04CB"/>
    <w:rsid w:val="001E4A88"/>
    <w:rsid w:val="001E5209"/>
    <w:rsid w:val="001E6248"/>
    <w:rsid w:val="001E7903"/>
    <w:rsid w:val="00200C74"/>
    <w:rsid w:val="0020356F"/>
    <w:rsid w:val="00204B0C"/>
    <w:rsid w:val="0020739B"/>
    <w:rsid w:val="0021657D"/>
    <w:rsid w:val="00221CE4"/>
    <w:rsid w:val="00223759"/>
    <w:rsid w:val="00224D28"/>
    <w:rsid w:val="00226481"/>
    <w:rsid w:val="00227CBC"/>
    <w:rsid w:val="002316AE"/>
    <w:rsid w:val="002375F6"/>
    <w:rsid w:val="002419D9"/>
    <w:rsid w:val="00244AF4"/>
    <w:rsid w:val="002554B3"/>
    <w:rsid w:val="0026113E"/>
    <w:rsid w:val="002634A7"/>
    <w:rsid w:val="00264C23"/>
    <w:rsid w:val="00265DE4"/>
    <w:rsid w:val="00266EF4"/>
    <w:rsid w:val="00267BC7"/>
    <w:rsid w:val="002720D8"/>
    <w:rsid w:val="00274764"/>
    <w:rsid w:val="00283A1B"/>
    <w:rsid w:val="00291BE1"/>
    <w:rsid w:val="00293AB5"/>
    <w:rsid w:val="0029459A"/>
    <w:rsid w:val="002A209F"/>
    <w:rsid w:val="002A303A"/>
    <w:rsid w:val="002A5005"/>
    <w:rsid w:val="002B7478"/>
    <w:rsid w:val="002D38E1"/>
    <w:rsid w:val="002D4F73"/>
    <w:rsid w:val="002D57A8"/>
    <w:rsid w:val="002D7B18"/>
    <w:rsid w:val="002E31EF"/>
    <w:rsid w:val="002E56E8"/>
    <w:rsid w:val="002F373F"/>
    <w:rsid w:val="002F4AED"/>
    <w:rsid w:val="002F508B"/>
    <w:rsid w:val="002F6910"/>
    <w:rsid w:val="002F6F2E"/>
    <w:rsid w:val="003008A7"/>
    <w:rsid w:val="003037D1"/>
    <w:rsid w:val="003060B4"/>
    <w:rsid w:val="00312E68"/>
    <w:rsid w:val="00313E6B"/>
    <w:rsid w:val="0031525B"/>
    <w:rsid w:val="003161F5"/>
    <w:rsid w:val="00320025"/>
    <w:rsid w:val="00324C1B"/>
    <w:rsid w:val="00326AF6"/>
    <w:rsid w:val="003309E7"/>
    <w:rsid w:val="00332ACC"/>
    <w:rsid w:val="00336BC7"/>
    <w:rsid w:val="0034689D"/>
    <w:rsid w:val="00347B43"/>
    <w:rsid w:val="00354C8F"/>
    <w:rsid w:val="003631EC"/>
    <w:rsid w:val="00363371"/>
    <w:rsid w:val="00367071"/>
    <w:rsid w:val="00377A48"/>
    <w:rsid w:val="00380C4C"/>
    <w:rsid w:val="00380EED"/>
    <w:rsid w:val="00386C4C"/>
    <w:rsid w:val="0039722A"/>
    <w:rsid w:val="003A6FA1"/>
    <w:rsid w:val="003B36C3"/>
    <w:rsid w:val="003C10AD"/>
    <w:rsid w:val="003C6AEA"/>
    <w:rsid w:val="003D13CD"/>
    <w:rsid w:val="003D1D15"/>
    <w:rsid w:val="003D1DD5"/>
    <w:rsid w:val="003D2A99"/>
    <w:rsid w:val="003D461F"/>
    <w:rsid w:val="003E03A8"/>
    <w:rsid w:val="003E5254"/>
    <w:rsid w:val="003F21DC"/>
    <w:rsid w:val="003F54B8"/>
    <w:rsid w:val="003F5530"/>
    <w:rsid w:val="003F6B7B"/>
    <w:rsid w:val="00403381"/>
    <w:rsid w:val="00405C3D"/>
    <w:rsid w:val="00411A4F"/>
    <w:rsid w:val="00413078"/>
    <w:rsid w:val="004131EA"/>
    <w:rsid w:val="00413B7A"/>
    <w:rsid w:val="004153C5"/>
    <w:rsid w:val="00417440"/>
    <w:rsid w:val="004179B1"/>
    <w:rsid w:val="00421C38"/>
    <w:rsid w:val="00425D4E"/>
    <w:rsid w:val="004306A9"/>
    <w:rsid w:val="00445AE7"/>
    <w:rsid w:val="00451F20"/>
    <w:rsid w:val="00457647"/>
    <w:rsid w:val="0046067A"/>
    <w:rsid w:val="00461460"/>
    <w:rsid w:val="00465760"/>
    <w:rsid w:val="00471904"/>
    <w:rsid w:val="00473AB5"/>
    <w:rsid w:val="00481A14"/>
    <w:rsid w:val="004821FD"/>
    <w:rsid w:val="00483A74"/>
    <w:rsid w:val="00484390"/>
    <w:rsid w:val="00485371"/>
    <w:rsid w:val="0048677C"/>
    <w:rsid w:val="00492BBC"/>
    <w:rsid w:val="004A1790"/>
    <w:rsid w:val="004A409A"/>
    <w:rsid w:val="004A5527"/>
    <w:rsid w:val="004A59E3"/>
    <w:rsid w:val="004A69BE"/>
    <w:rsid w:val="004B1BCD"/>
    <w:rsid w:val="004B37AA"/>
    <w:rsid w:val="004C17CF"/>
    <w:rsid w:val="004C26E8"/>
    <w:rsid w:val="004C3A5C"/>
    <w:rsid w:val="004C52B2"/>
    <w:rsid w:val="004C7C31"/>
    <w:rsid w:val="004D2B59"/>
    <w:rsid w:val="004D3D3D"/>
    <w:rsid w:val="004D3D88"/>
    <w:rsid w:val="004E214E"/>
    <w:rsid w:val="004E3007"/>
    <w:rsid w:val="004E6FD7"/>
    <w:rsid w:val="004F15D4"/>
    <w:rsid w:val="004F4F29"/>
    <w:rsid w:val="004F692A"/>
    <w:rsid w:val="004F6A4B"/>
    <w:rsid w:val="0050262E"/>
    <w:rsid w:val="00503779"/>
    <w:rsid w:val="005038C7"/>
    <w:rsid w:val="00503F06"/>
    <w:rsid w:val="00505EA9"/>
    <w:rsid w:val="00506527"/>
    <w:rsid w:val="005102E1"/>
    <w:rsid w:val="005106D7"/>
    <w:rsid w:val="00511847"/>
    <w:rsid w:val="00516361"/>
    <w:rsid w:val="00517A02"/>
    <w:rsid w:val="00523B37"/>
    <w:rsid w:val="0052666B"/>
    <w:rsid w:val="00526DE6"/>
    <w:rsid w:val="00532115"/>
    <w:rsid w:val="00532F1B"/>
    <w:rsid w:val="00533EAD"/>
    <w:rsid w:val="00534D44"/>
    <w:rsid w:val="00541F7B"/>
    <w:rsid w:val="00547C1B"/>
    <w:rsid w:val="005506E0"/>
    <w:rsid w:val="00555A88"/>
    <w:rsid w:val="00557E87"/>
    <w:rsid w:val="00563E2B"/>
    <w:rsid w:val="0056479F"/>
    <w:rsid w:val="005670FC"/>
    <w:rsid w:val="005679F5"/>
    <w:rsid w:val="0057355C"/>
    <w:rsid w:val="00575298"/>
    <w:rsid w:val="00592160"/>
    <w:rsid w:val="005929D6"/>
    <w:rsid w:val="00596476"/>
    <w:rsid w:val="00596AE0"/>
    <w:rsid w:val="005976BC"/>
    <w:rsid w:val="00597CD0"/>
    <w:rsid w:val="005A7269"/>
    <w:rsid w:val="005B2C13"/>
    <w:rsid w:val="005B39BA"/>
    <w:rsid w:val="005B3C44"/>
    <w:rsid w:val="005B47B7"/>
    <w:rsid w:val="005C1535"/>
    <w:rsid w:val="005C3884"/>
    <w:rsid w:val="005C429C"/>
    <w:rsid w:val="005D09C7"/>
    <w:rsid w:val="005D59FD"/>
    <w:rsid w:val="005E015C"/>
    <w:rsid w:val="005E3382"/>
    <w:rsid w:val="005E5F36"/>
    <w:rsid w:val="005E65A8"/>
    <w:rsid w:val="005E7E6D"/>
    <w:rsid w:val="005F35D3"/>
    <w:rsid w:val="006037EF"/>
    <w:rsid w:val="0061408F"/>
    <w:rsid w:val="006140B1"/>
    <w:rsid w:val="00620953"/>
    <w:rsid w:val="00621E13"/>
    <w:rsid w:val="00622844"/>
    <w:rsid w:val="00623320"/>
    <w:rsid w:val="00630731"/>
    <w:rsid w:val="006320F4"/>
    <w:rsid w:val="006327F1"/>
    <w:rsid w:val="00633F52"/>
    <w:rsid w:val="00636EB4"/>
    <w:rsid w:val="0064190A"/>
    <w:rsid w:val="00641996"/>
    <w:rsid w:val="00646495"/>
    <w:rsid w:val="006523C5"/>
    <w:rsid w:val="006607A1"/>
    <w:rsid w:val="0066148D"/>
    <w:rsid w:val="00664EB3"/>
    <w:rsid w:val="00675904"/>
    <w:rsid w:val="00675D51"/>
    <w:rsid w:val="006802FD"/>
    <w:rsid w:val="0068083A"/>
    <w:rsid w:val="00682F62"/>
    <w:rsid w:val="00691750"/>
    <w:rsid w:val="00691814"/>
    <w:rsid w:val="00694451"/>
    <w:rsid w:val="006A034C"/>
    <w:rsid w:val="006A2E36"/>
    <w:rsid w:val="006A2E56"/>
    <w:rsid w:val="006A3EA9"/>
    <w:rsid w:val="006A5980"/>
    <w:rsid w:val="006A75F7"/>
    <w:rsid w:val="006B2220"/>
    <w:rsid w:val="006B791A"/>
    <w:rsid w:val="006C26D1"/>
    <w:rsid w:val="006C6438"/>
    <w:rsid w:val="006C6607"/>
    <w:rsid w:val="006C6AEA"/>
    <w:rsid w:val="006D054F"/>
    <w:rsid w:val="006D2A66"/>
    <w:rsid w:val="006E47AA"/>
    <w:rsid w:val="006E757E"/>
    <w:rsid w:val="006E7700"/>
    <w:rsid w:val="006F30A2"/>
    <w:rsid w:val="00701219"/>
    <w:rsid w:val="007019DC"/>
    <w:rsid w:val="00702C03"/>
    <w:rsid w:val="00702D0E"/>
    <w:rsid w:val="00704371"/>
    <w:rsid w:val="007046A4"/>
    <w:rsid w:val="007046AE"/>
    <w:rsid w:val="00710E8C"/>
    <w:rsid w:val="007153B4"/>
    <w:rsid w:val="00734194"/>
    <w:rsid w:val="007352D8"/>
    <w:rsid w:val="00745759"/>
    <w:rsid w:val="00746C46"/>
    <w:rsid w:val="00751EF0"/>
    <w:rsid w:val="007545CE"/>
    <w:rsid w:val="00755E3F"/>
    <w:rsid w:val="00755F24"/>
    <w:rsid w:val="0075793D"/>
    <w:rsid w:val="00761698"/>
    <w:rsid w:val="0076247D"/>
    <w:rsid w:val="00762D3B"/>
    <w:rsid w:val="00763153"/>
    <w:rsid w:val="00766443"/>
    <w:rsid w:val="00767D12"/>
    <w:rsid w:val="00770181"/>
    <w:rsid w:val="00771095"/>
    <w:rsid w:val="0077158B"/>
    <w:rsid w:val="007716DB"/>
    <w:rsid w:val="007767A0"/>
    <w:rsid w:val="00777530"/>
    <w:rsid w:val="00777C2C"/>
    <w:rsid w:val="0078070E"/>
    <w:rsid w:val="00784337"/>
    <w:rsid w:val="00792471"/>
    <w:rsid w:val="00792A35"/>
    <w:rsid w:val="00793CE2"/>
    <w:rsid w:val="0079752E"/>
    <w:rsid w:val="007A4846"/>
    <w:rsid w:val="007B0242"/>
    <w:rsid w:val="007B35B6"/>
    <w:rsid w:val="007B3810"/>
    <w:rsid w:val="007B6F2E"/>
    <w:rsid w:val="007B7472"/>
    <w:rsid w:val="007C3EC1"/>
    <w:rsid w:val="007C6500"/>
    <w:rsid w:val="007C7C97"/>
    <w:rsid w:val="007D23BD"/>
    <w:rsid w:val="007D27D1"/>
    <w:rsid w:val="007D296B"/>
    <w:rsid w:val="007D3EE3"/>
    <w:rsid w:val="007D4770"/>
    <w:rsid w:val="007D70F9"/>
    <w:rsid w:val="007D746A"/>
    <w:rsid w:val="007E0E27"/>
    <w:rsid w:val="007E30CE"/>
    <w:rsid w:val="0080087A"/>
    <w:rsid w:val="00806D9C"/>
    <w:rsid w:val="008124D9"/>
    <w:rsid w:val="00813A7D"/>
    <w:rsid w:val="008148CE"/>
    <w:rsid w:val="00816204"/>
    <w:rsid w:val="00823E70"/>
    <w:rsid w:val="008304D4"/>
    <w:rsid w:val="00831985"/>
    <w:rsid w:val="00831CA9"/>
    <w:rsid w:val="00844EE6"/>
    <w:rsid w:val="0085590A"/>
    <w:rsid w:val="00857032"/>
    <w:rsid w:val="00857847"/>
    <w:rsid w:val="008612F8"/>
    <w:rsid w:val="00862FD0"/>
    <w:rsid w:val="00865408"/>
    <w:rsid w:val="00866DBB"/>
    <w:rsid w:val="00873992"/>
    <w:rsid w:val="008747F0"/>
    <w:rsid w:val="00874C78"/>
    <w:rsid w:val="00875B9B"/>
    <w:rsid w:val="00883E67"/>
    <w:rsid w:val="0088480D"/>
    <w:rsid w:val="0089105B"/>
    <w:rsid w:val="00892210"/>
    <w:rsid w:val="008950E4"/>
    <w:rsid w:val="008A00EA"/>
    <w:rsid w:val="008A0D7F"/>
    <w:rsid w:val="008A285C"/>
    <w:rsid w:val="008A3AB0"/>
    <w:rsid w:val="008B3CFD"/>
    <w:rsid w:val="008B6536"/>
    <w:rsid w:val="008B72DF"/>
    <w:rsid w:val="008C1999"/>
    <w:rsid w:val="008C77A1"/>
    <w:rsid w:val="008D1709"/>
    <w:rsid w:val="008D2971"/>
    <w:rsid w:val="008D2AEE"/>
    <w:rsid w:val="008D42D7"/>
    <w:rsid w:val="008D7D1F"/>
    <w:rsid w:val="008E0551"/>
    <w:rsid w:val="008E362E"/>
    <w:rsid w:val="008F38A0"/>
    <w:rsid w:val="008F4338"/>
    <w:rsid w:val="008F4FC0"/>
    <w:rsid w:val="008F6FF8"/>
    <w:rsid w:val="008F7624"/>
    <w:rsid w:val="008F7FF1"/>
    <w:rsid w:val="009014BF"/>
    <w:rsid w:val="00904029"/>
    <w:rsid w:val="00904B7D"/>
    <w:rsid w:val="00911192"/>
    <w:rsid w:val="0091163A"/>
    <w:rsid w:val="009148A1"/>
    <w:rsid w:val="009322DF"/>
    <w:rsid w:val="00936D62"/>
    <w:rsid w:val="00941A47"/>
    <w:rsid w:val="00941F80"/>
    <w:rsid w:val="00947767"/>
    <w:rsid w:val="009618E0"/>
    <w:rsid w:val="00972D12"/>
    <w:rsid w:val="009748BB"/>
    <w:rsid w:val="009778B5"/>
    <w:rsid w:val="00977C61"/>
    <w:rsid w:val="00982625"/>
    <w:rsid w:val="009829D4"/>
    <w:rsid w:val="00983B7F"/>
    <w:rsid w:val="0099342B"/>
    <w:rsid w:val="00997252"/>
    <w:rsid w:val="009A5C14"/>
    <w:rsid w:val="009A7817"/>
    <w:rsid w:val="009B07B0"/>
    <w:rsid w:val="009B07FA"/>
    <w:rsid w:val="009B2411"/>
    <w:rsid w:val="009B653B"/>
    <w:rsid w:val="009C192C"/>
    <w:rsid w:val="009C35C1"/>
    <w:rsid w:val="009C3A1F"/>
    <w:rsid w:val="009C65D2"/>
    <w:rsid w:val="009D0929"/>
    <w:rsid w:val="009D1052"/>
    <w:rsid w:val="009D43A8"/>
    <w:rsid w:val="009D59BF"/>
    <w:rsid w:val="009E276A"/>
    <w:rsid w:val="009E636B"/>
    <w:rsid w:val="009F3AC6"/>
    <w:rsid w:val="00A00BBC"/>
    <w:rsid w:val="00A07DB4"/>
    <w:rsid w:val="00A131F7"/>
    <w:rsid w:val="00A23504"/>
    <w:rsid w:val="00A24A29"/>
    <w:rsid w:val="00A305BE"/>
    <w:rsid w:val="00A35A31"/>
    <w:rsid w:val="00A368DE"/>
    <w:rsid w:val="00A406E5"/>
    <w:rsid w:val="00A42E49"/>
    <w:rsid w:val="00A45874"/>
    <w:rsid w:val="00A47225"/>
    <w:rsid w:val="00A57B53"/>
    <w:rsid w:val="00A60332"/>
    <w:rsid w:val="00A63817"/>
    <w:rsid w:val="00A643F1"/>
    <w:rsid w:val="00A71F99"/>
    <w:rsid w:val="00A762F7"/>
    <w:rsid w:val="00A84D92"/>
    <w:rsid w:val="00A91A3C"/>
    <w:rsid w:val="00A923FF"/>
    <w:rsid w:val="00A92E29"/>
    <w:rsid w:val="00AA19C5"/>
    <w:rsid w:val="00AA2D1A"/>
    <w:rsid w:val="00AA58D8"/>
    <w:rsid w:val="00AA65D4"/>
    <w:rsid w:val="00AA665F"/>
    <w:rsid w:val="00AA75FA"/>
    <w:rsid w:val="00AB041F"/>
    <w:rsid w:val="00AB086C"/>
    <w:rsid w:val="00AC0FBE"/>
    <w:rsid w:val="00AC18A3"/>
    <w:rsid w:val="00AC702D"/>
    <w:rsid w:val="00AC74C0"/>
    <w:rsid w:val="00AD235E"/>
    <w:rsid w:val="00AD2BFF"/>
    <w:rsid w:val="00AD6325"/>
    <w:rsid w:val="00AF0BAB"/>
    <w:rsid w:val="00AF4EAD"/>
    <w:rsid w:val="00AF623B"/>
    <w:rsid w:val="00AF7E97"/>
    <w:rsid w:val="00B000E2"/>
    <w:rsid w:val="00B00245"/>
    <w:rsid w:val="00B02121"/>
    <w:rsid w:val="00B03FED"/>
    <w:rsid w:val="00B22ACE"/>
    <w:rsid w:val="00B24A92"/>
    <w:rsid w:val="00B25EAD"/>
    <w:rsid w:val="00B26AC1"/>
    <w:rsid w:val="00B26F09"/>
    <w:rsid w:val="00B3308C"/>
    <w:rsid w:val="00B34B75"/>
    <w:rsid w:val="00B35B9A"/>
    <w:rsid w:val="00B41127"/>
    <w:rsid w:val="00B465FD"/>
    <w:rsid w:val="00B504E2"/>
    <w:rsid w:val="00B50635"/>
    <w:rsid w:val="00B521E1"/>
    <w:rsid w:val="00B57143"/>
    <w:rsid w:val="00B63299"/>
    <w:rsid w:val="00B7711E"/>
    <w:rsid w:val="00B77E46"/>
    <w:rsid w:val="00B80FEF"/>
    <w:rsid w:val="00B836C3"/>
    <w:rsid w:val="00B8485F"/>
    <w:rsid w:val="00B87FBB"/>
    <w:rsid w:val="00B90063"/>
    <w:rsid w:val="00B950DA"/>
    <w:rsid w:val="00B95653"/>
    <w:rsid w:val="00BA4DC6"/>
    <w:rsid w:val="00BA5A8D"/>
    <w:rsid w:val="00BA7CE9"/>
    <w:rsid w:val="00BB2ADA"/>
    <w:rsid w:val="00BB64D6"/>
    <w:rsid w:val="00BB7D2D"/>
    <w:rsid w:val="00BC36A3"/>
    <w:rsid w:val="00BC6390"/>
    <w:rsid w:val="00BC6CBE"/>
    <w:rsid w:val="00BC715A"/>
    <w:rsid w:val="00BD1ECD"/>
    <w:rsid w:val="00BD20B3"/>
    <w:rsid w:val="00BD7405"/>
    <w:rsid w:val="00BE767E"/>
    <w:rsid w:val="00BF120D"/>
    <w:rsid w:val="00BF1BFF"/>
    <w:rsid w:val="00BF2037"/>
    <w:rsid w:val="00BF62E8"/>
    <w:rsid w:val="00C05F24"/>
    <w:rsid w:val="00C065A5"/>
    <w:rsid w:val="00C06754"/>
    <w:rsid w:val="00C07868"/>
    <w:rsid w:val="00C07D7B"/>
    <w:rsid w:val="00C204F9"/>
    <w:rsid w:val="00C228C6"/>
    <w:rsid w:val="00C23763"/>
    <w:rsid w:val="00C23FAA"/>
    <w:rsid w:val="00C25FE1"/>
    <w:rsid w:val="00C26ED7"/>
    <w:rsid w:val="00C273C9"/>
    <w:rsid w:val="00C40C56"/>
    <w:rsid w:val="00C43725"/>
    <w:rsid w:val="00C57FDC"/>
    <w:rsid w:val="00C62170"/>
    <w:rsid w:val="00C64DD1"/>
    <w:rsid w:val="00C6643C"/>
    <w:rsid w:val="00C6788B"/>
    <w:rsid w:val="00C7159A"/>
    <w:rsid w:val="00C72758"/>
    <w:rsid w:val="00C73B42"/>
    <w:rsid w:val="00C74CD7"/>
    <w:rsid w:val="00C80493"/>
    <w:rsid w:val="00C87F16"/>
    <w:rsid w:val="00C90118"/>
    <w:rsid w:val="00C97766"/>
    <w:rsid w:val="00CA3BD0"/>
    <w:rsid w:val="00CA6B53"/>
    <w:rsid w:val="00CB2411"/>
    <w:rsid w:val="00CB6C5F"/>
    <w:rsid w:val="00CB6F43"/>
    <w:rsid w:val="00CC14BE"/>
    <w:rsid w:val="00CC1D90"/>
    <w:rsid w:val="00CC4F52"/>
    <w:rsid w:val="00CC78C3"/>
    <w:rsid w:val="00CD1CEF"/>
    <w:rsid w:val="00CD2AFF"/>
    <w:rsid w:val="00CD4B44"/>
    <w:rsid w:val="00CD572B"/>
    <w:rsid w:val="00CD590A"/>
    <w:rsid w:val="00CD5EED"/>
    <w:rsid w:val="00CE7D23"/>
    <w:rsid w:val="00CF055A"/>
    <w:rsid w:val="00CF1DAE"/>
    <w:rsid w:val="00CF23FA"/>
    <w:rsid w:val="00CF6F1B"/>
    <w:rsid w:val="00D01800"/>
    <w:rsid w:val="00D03466"/>
    <w:rsid w:val="00D04E20"/>
    <w:rsid w:val="00D061B4"/>
    <w:rsid w:val="00D137C8"/>
    <w:rsid w:val="00D13F59"/>
    <w:rsid w:val="00D20490"/>
    <w:rsid w:val="00D2217A"/>
    <w:rsid w:val="00D256E1"/>
    <w:rsid w:val="00D34FBB"/>
    <w:rsid w:val="00D358B6"/>
    <w:rsid w:val="00D36996"/>
    <w:rsid w:val="00D41D75"/>
    <w:rsid w:val="00D44422"/>
    <w:rsid w:val="00D44E20"/>
    <w:rsid w:val="00D453F4"/>
    <w:rsid w:val="00D478EE"/>
    <w:rsid w:val="00D526C3"/>
    <w:rsid w:val="00D550EE"/>
    <w:rsid w:val="00D565D1"/>
    <w:rsid w:val="00D72CC5"/>
    <w:rsid w:val="00D72E56"/>
    <w:rsid w:val="00D73962"/>
    <w:rsid w:val="00D74FDE"/>
    <w:rsid w:val="00D75220"/>
    <w:rsid w:val="00D7647D"/>
    <w:rsid w:val="00D93BA4"/>
    <w:rsid w:val="00D94890"/>
    <w:rsid w:val="00D96032"/>
    <w:rsid w:val="00D96786"/>
    <w:rsid w:val="00D97C74"/>
    <w:rsid w:val="00DA12C1"/>
    <w:rsid w:val="00DA3ADE"/>
    <w:rsid w:val="00DA5557"/>
    <w:rsid w:val="00DA6145"/>
    <w:rsid w:val="00DA7FBA"/>
    <w:rsid w:val="00DB0337"/>
    <w:rsid w:val="00DB1EF0"/>
    <w:rsid w:val="00DB4BEC"/>
    <w:rsid w:val="00DB60A3"/>
    <w:rsid w:val="00DB6308"/>
    <w:rsid w:val="00DC2AC0"/>
    <w:rsid w:val="00DC3B3C"/>
    <w:rsid w:val="00DC64EE"/>
    <w:rsid w:val="00DC707B"/>
    <w:rsid w:val="00DC7164"/>
    <w:rsid w:val="00DC7E73"/>
    <w:rsid w:val="00DD3295"/>
    <w:rsid w:val="00DD6308"/>
    <w:rsid w:val="00DD764C"/>
    <w:rsid w:val="00DE17E0"/>
    <w:rsid w:val="00DE7A9F"/>
    <w:rsid w:val="00DF226C"/>
    <w:rsid w:val="00DF3D18"/>
    <w:rsid w:val="00DF6897"/>
    <w:rsid w:val="00DF6DE1"/>
    <w:rsid w:val="00DF70C9"/>
    <w:rsid w:val="00E04219"/>
    <w:rsid w:val="00E057A2"/>
    <w:rsid w:val="00E14E28"/>
    <w:rsid w:val="00E218FE"/>
    <w:rsid w:val="00E21C46"/>
    <w:rsid w:val="00E221F5"/>
    <w:rsid w:val="00E222B5"/>
    <w:rsid w:val="00E2413C"/>
    <w:rsid w:val="00E30025"/>
    <w:rsid w:val="00E309EA"/>
    <w:rsid w:val="00E31BE7"/>
    <w:rsid w:val="00E358E1"/>
    <w:rsid w:val="00E35FF3"/>
    <w:rsid w:val="00E37689"/>
    <w:rsid w:val="00E45322"/>
    <w:rsid w:val="00E46324"/>
    <w:rsid w:val="00E46764"/>
    <w:rsid w:val="00E501F4"/>
    <w:rsid w:val="00E56DB9"/>
    <w:rsid w:val="00E56F7B"/>
    <w:rsid w:val="00E57968"/>
    <w:rsid w:val="00E60124"/>
    <w:rsid w:val="00E65757"/>
    <w:rsid w:val="00E67808"/>
    <w:rsid w:val="00E67F54"/>
    <w:rsid w:val="00E713D1"/>
    <w:rsid w:val="00E72F33"/>
    <w:rsid w:val="00E731B8"/>
    <w:rsid w:val="00E77DC4"/>
    <w:rsid w:val="00E81443"/>
    <w:rsid w:val="00E820CF"/>
    <w:rsid w:val="00E83FE4"/>
    <w:rsid w:val="00E85D9A"/>
    <w:rsid w:val="00E86B15"/>
    <w:rsid w:val="00E87318"/>
    <w:rsid w:val="00E87BE4"/>
    <w:rsid w:val="00E91725"/>
    <w:rsid w:val="00E91FF5"/>
    <w:rsid w:val="00E928E1"/>
    <w:rsid w:val="00E92BE4"/>
    <w:rsid w:val="00E93B90"/>
    <w:rsid w:val="00E956F5"/>
    <w:rsid w:val="00EA15EC"/>
    <w:rsid w:val="00EA37B8"/>
    <w:rsid w:val="00EA5834"/>
    <w:rsid w:val="00EA621A"/>
    <w:rsid w:val="00EB037C"/>
    <w:rsid w:val="00EB0D59"/>
    <w:rsid w:val="00EB1333"/>
    <w:rsid w:val="00EB2508"/>
    <w:rsid w:val="00EB657A"/>
    <w:rsid w:val="00EC33BC"/>
    <w:rsid w:val="00EC5D2D"/>
    <w:rsid w:val="00EC70EF"/>
    <w:rsid w:val="00ED0898"/>
    <w:rsid w:val="00ED2659"/>
    <w:rsid w:val="00ED5B27"/>
    <w:rsid w:val="00EE0BE6"/>
    <w:rsid w:val="00EE3C77"/>
    <w:rsid w:val="00EE7317"/>
    <w:rsid w:val="00EF7D3F"/>
    <w:rsid w:val="00EF7F07"/>
    <w:rsid w:val="00F018FF"/>
    <w:rsid w:val="00F02F4F"/>
    <w:rsid w:val="00F0320D"/>
    <w:rsid w:val="00F04828"/>
    <w:rsid w:val="00F050D0"/>
    <w:rsid w:val="00F05DCB"/>
    <w:rsid w:val="00F127FD"/>
    <w:rsid w:val="00F1344E"/>
    <w:rsid w:val="00F170F4"/>
    <w:rsid w:val="00F33CBC"/>
    <w:rsid w:val="00F365C2"/>
    <w:rsid w:val="00F37111"/>
    <w:rsid w:val="00F441D5"/>
    <w:rsid w:val="00F468AB"/>
    <w:rsid w:val="00F50AF5"/>
    <w:rsid w:val="00F50D36"/>
    <w:rsid w:val="00F50DE6"/>
    <w:rsid w:val="00F522EF"/>
    <w:rsid w:val="00F52351"/>
    <w:rsid w:val="00F6191E"/>
    <w:rsid w:val="00F61958"/>
    <w:rsid w:val="00F6705C"/>
    <w:rsid w:val="00F670C7"/>
    <w:rsid w:val="00F673C5"/>
    <w:rsid w:val="00F70B37"/>
    <w:rsid w:val="00F712B8"/>
    <w:rsid w:val="00F71D45"/>
    <w:rsid w:val="00F73203"/>
    <w:rsid w:val="00F747FB"/>
    <w:rsid w:val="00F75DDE"/>
    <w:rsid w:val="00F75E65"/>
    <w:rsid w:val="00F84A35"/>
    <w:rsid w:val="00F87522"/>
    <w:rsid w:val="00F90243"/>
    <w:rsid w:val="00F9543D"/>
    <w:rsid w:val="00F96A3D"/>
    <w:rsid w:val="00FA0848"/>
    <w:rsid w:val="00FA2F60"/>
    <w:rsid w:val="00FA4614"/>
    <w:rsid w:val="00FA47D9"/>
    <w:rsid w:val="00FA6468"/>
    <w:rsid w:val="00FB04E8"/>
    <w:rsid w:val="00FB233E"/>
    <w:rsid w:val="00FB46E0"/>
    <w:rsid w:val="00FB48F9"/>
    <w:rsid w:val="00FC6906"/>
    <w:rsid w:val="00FD0300"/>
    <w:rsid w:val="00FD6D5D"/>
    <w:rsid w:val="00FE1A54"/>
    <w:rsid w:val="00FE3839"/>
    <w:rsid w:val="00FE4F9A"/>
    <w:rsid w:val="00FE536B"/>
    <w:rsid w:val="00FE659B"/>
    <w:rsid w:val="00FE680A"/>
    <w:rsid w:val="00FE7D68"/>
    <w:rsid w:val="020C9C0C"/>
    <w:rsid w:val="0491F072"/>
    <w:rsid w:val="06E3F900"/>
    <w:rsid w:val="0A17D019"/>
    <w:rsid w:val="0A9B9361"/>
    <w:rsid w:val="110F7254"/>
    <w:rsid w:val="14BB59FC"/>
    <w:rsid w:val="1928DA0F"/>
    <w:rsid w:val="234F088F"/>
    <w:rsid w:val="26B6470B"/>
    <w:rsid w:val="3110D56F"/>
    <w:rsid w:val="317B06FA"/>
    <w:rsid w:val="31EB5126"/>
    <w:rsid w:val="32EE1ACE"/>
    <w:rsid w:val="518F4CF9"/>
    <w:rsid w:val="5C6264F7"/>
    <w:rsid w:val="64645308"/>
    <w:rsid w:val="68EF2FCF"/>
    <w:rsid w:val="6EB239EE"/>
    <w:rsid w:val="6ECBCF59"/>
    <w:rsid w:val="77135D4F"/>
    <w:rsid w:val="78F2A18E"/>
    <w:rsid w:val="792877B9"/>
  </w:rsids>
  <m:mathPr>
    <m:mathFont m:val="Cambria Math"/>
    <m:brkBin m:val="before"/>
    <m:brkBinSub m:val="--"/>
    <m:smallFrac m:val="0"/>
    <m:dispDef/>
    <m:lMargin m:val="0"/>
    <m:rMargin m:val="0"/>
    <m:defJc m:val="centerGroup"/>
    <m:wrapIndent m:val="1440"/>
    <m:intLim m:val="subSup"/>
    <m:naryLim m:val="undOvr"/>
  </m:mathPr>
  <w:themeFontLang w:val="en-AU"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E72870"/>
  <w15:chartTrackingRefBased/>
  <w15:docId w15:val="{62EBDCA0-4117-48EB-B6E9-62658453B4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imes New Roman (Body CS)"/>
        <w:sz w:val="24"/>
        <w:szCs w:val="24"/>
        <w:lang w:val="en-A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4B44"/>
    <w:pPr>
      <w:spacing w:after="200" w:line="276" w:lineRule="auto"/>
    </w:pPr>
    <w:rPr>
      <w:rFonts w:eastAsiaTheme="minorEastAsia" w:cstheme="minorBidi"/>
      <w:color w:val="000000" w:themeColor="text1"/>
      <w:sz w:val="20"/>
      <w:lang w:eastAsia="en-GB"/>
    </w:rPr>
  </w:style>
  <w:style w:type="paragraph" w:styleId="Heading1">
    <w:name w:val="heading 1"/>
    <w:basedOn w:val="Normal"/>
    <w:next w:val="Normal"/>
    <w:link w:val="Heading1Char"/>
    <w:uiPriority w:val="9"/>
    <w:qFormat/>
    <w:rsid w:val="0052666B"/>
    <w:pPr>
      <w:suppressAutoHyphens/>
      <w:autoSpaceDE w:val="0"/>
      <w:autoSpaceDN w:val="0"/>
      <w:adjustRightInd w:val="0"/>
      <w:spacing w:before="480" w:after="320" w:line="290" w:lineRule="atLeast"/>
      <w:textAlignment w:val="center"/>
      <w:outlineLvl w:val="0"/>
    </w:pPr>
    <w:rPr>
      <w:rFonts w:eastAsia="Calibri" w:cs="Arial"/>
      <w:color w:val="2D6CB5"/>
      <w:sz w:val="43"/>
      <w:szCs w:val="43"/>
      <w:lang w:val="en-US" w:eastAsia="en-US"/>
    </w:rPr>
  </w:style>
  <w:style w:type="paragraph" w:styleId="Heading2">
    <w:name w:val="heading 2"/>
    <w:basedOn w:val="Normal"/>
    <w:next w:val="Normal"/>
    <w:link w:val="Heading2Char"/>
    <w:uiPriority w:val="9"/>
    <w:unhideWhenUsed/>
    <w:qFormat/>
    <w:rsid w:val="009E276A"/>
    <w:pPr>
      <w:keepNext/>
      <w:keepLines/>
      <w:spacing w:before="360" w:line="240" w:lineRule="auto"/>
      <w:outlineLvl w:val="1"/>
    </w:pPr>
    <w:rPr>
      <w:rFonts w:eastAsia="DengXian Light" w:cs="Arial"/>
      <w:color w:val="000000"/>
      <w:sz w:val="33"/>
      <w:szCs w:val="33"/>
      <w:lang w:eastAsia="en-US"/>
    </w:rPr>
  </w:style>
  <w:style w:type="paragraph" w:styleId="Heading3">
    <w:name w:val="heading 3"/>
    <w:basedOn w:val="Normal"/>
    <w:next w:val="Normal"/>
    <w:link w:val="Heading3Char"/>
    <w:uiPriority w:val="9"/>
    <w:unhideWhenUsed/>
    <w:qFormat/>
    <w:rsid w:val="00DB6308"/>
    <w:pPr>
      <w:keepNext/>
      <w:keepLines/>
      <w:spacing w:before="40" w:after="0"/>
      <w:outlineLvl w:val="2"/>
    </w:pPr>
    <w:rPr>
      <w:rFonts w:asciiTheme="majorHAnsi" w:eastAsiaTheme="majorEastAsia" w:hAnsiTheme="majorHAnsi" w:cstheme="majorBidi"/>
      <w:color w:val="1F3763" w:themeColor="accent1" w:themeShade="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506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0635"/>
    <w:rPr>
      <w:rFonts w:eastAsiaTheme="minorEastAsia" w:cstheme="minorBidi"/>
      <w:color w:val="000000" w:themeColor="text1"/>
      <w:sz w:val="20"/>
      <w:lang w:eastAsia="en-GB"/>
    </w:rPr>
  </w:style>
  <w:style w:type="paragraph" w:styleId="Footer">
    <w:name w:val="footer"/>
    <w:basedOn w:val="Normal"/>
    <w:link w:val="FooterChar"/>
    <w:uiPriority w:val="99"/>
    <w:unhideWhenUsed/>
    <w:rsid w:val="00B506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0635"/>
    <w:rPr>
      <w:rFonts w:eastAsiaTheme="minorEastAsia" w:cstheme="minorBidi"/>
      <w:color w:val="000000" w:themeColor="text1"/>
      <w:sz w:val="20"/>
      <w:lang w:eastAsia="en-GB"/>
    </w:rPr>
  </w:style>
  <w:style w:type="paragraph" w:customStyle="1" w:styleId="Pa1">
    <w:name w:val="Pa1"/>
    <w:basedOn w:val="Normal"/>
    <w:next w:val="Normal"/>
    <w:uiPriority w:val="99"/>
    <w:rsid w:val="00B50635"/>
    <w:pPr>
      <w:autoSpaceDE w:val="0"/>
      <w:autoSpaceDN w:val="0"/>
      <w:adjustRightInd w:val="0"/>
      <w:spacing w:after="0" w:line="241" w:lineRule="atLeast"/>
    </w:pPr>
    <w:rPr>
      <w:rFonts w:ascii="Inter" w:eastAsiaTheme="minorHAnsi" w:hAnsi="Inter"/>
      <w:color w:val="auto"/>
      <w:sz w:val="24"/>
      <w:lang w:val="en-GB" w:eastAsia="en-US"/>
    </w:rPr>
  </w:style>
  <w:style w:type="character" w:customStyle="1" w:styleId="A1">
    <w:name w:val="A1"/>
    <w:uiPriority w:val="99"/>
    <w:rsid w:val="00B50635"/>
    <w:rPr>
      <w:rFonts w:cs="Inter"/>
      <w:color w:val="211D1E"/>
      <w:sz w:val="17"/>
      <w:szCs w:val="17"/>
    </w:rPr>
  </w:style>
  <w:style w:type="character" w:styleId="PageNumber">
    <w:name w:val="page number"/>
    <w:basedOn w:val="DefaultParagraphFont"/>
    <w:uiPriority w:val="99"/>
    <w:semiHidden/>
    <w:unhideWhenUsed/>
    <w:rsid w:val="00B77E46"/>
  </w:style>
  <w:style w:type="character" w:styleId="Hyperlink">
    <w:name w:val="Hyperlink"/>
    <w:basedOn w:val="DefaultParagraphFont"/>
    <w:uiPriority w:val="99"/>
    <w:unhideWhenUsed/>
    <w:rsid w:val="00461460"/>
    <w:rPr>
      <w:color w:val="0563C1" w:themeColor="hyperlink"/>
      <w:u w:val="single"/>
    </w:rPr>
  </w:style>
  <w:style w:type="character" w:styleId="UnresolvedMention">
    <w:name w:val="Unresolved Mention"/>
    <w:basedOn w:val="DefaultParagraphFont"/>
    <w:uiPriority w:val="99"/>
    <w:semiHidden/>
    <w:unhideWhenUsed/>
    <w:rsid w:val="00461460"/>
    <w:rPr>
      <w:color w:val="605E5C"/>
      <w:shd w:val="clear" w:color="auto" w:fill="E1DFDD"/>
    </w:rPr>
  </w:style>
  <w:style w:type="character" w:customStyle="1" w:styleId="Heading1Char">
    <w:name w:val="Heading 1 Char"/>
    <w:basedOn w:val="DefaultParagraphFont"/>
    <w:link w:val="Heading1"/>
    <w:uiPriority w:val="9"/>
    <w:rsid w:val="0052666B"/>
    <w:rPr>
      <w:rFonts w:eastAsia="Calibri" w:cs="Arial"/>
      <w:color w:val="2D6CB5"/>
      <w:sz w:val="43"/>
      <w:szCs w:val="43"/>
      <w:lang w:val="en-US"/>
    </w:rPr>
  </w:style>
  <w:style w:type="paragraph" w:styleId="ListParagraph">
    <w:name w:val="List Paragraph"/>
    <w:basedOn w:val="Normal"/>
    <w:uiPriority w:val="34"/>
    <w:qFormat/>
    <w:rsid w:val="00B836C3"/>
    <w:pPr>
      <w:ind w:left="720"/>
      <w:contextualSpacing/>
    </w:pPr>
  </w:style>
  <w:style w:type="character" w:customStyle="1" w:styleId="Heading3Char">
    <w:name w:val="Heading 3 Char"/>
    <w:basedOn w:val="DefaultParagraphFont"/>
    <w:link w:val="Heading3"/>
    <w:uiPriority w:val="9"/>
    <w:rsid w:val="00DB6308"/>
    <w:rPr>
      <w:rFonts w:asciiTheme="majorHAnsi" w:eastAsiaTheme="majorEastAsia" w:hAnsiTheme="majorHAnsi" w:cstheme="majorBidi"/>
      <w:color w:val="1F3763" w:themeColor="accent1" w:themeShade="7F"/>
      <w:lang w:eastAsia="en-GB"/>
    </w:rPr>
  </w:style>
  <w:style w:type="table" w:styleId="TableGrid">
    <w:name w:val="Table Grid"/>
    <w:basedOn w:val="TableNormal"/>
    <w:uiPriority w:val="39"/>
    <w:rsid w:val="00AF4E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IntenseEmphasis">
    <w:name w:val="Intense Emphasis"/>
    <w:basedOn w:val="DefaultParagraphFont"/>
    <w:uiPriority w:val="21"/>
    <w:qFormat/>
    <w:rsid w:val="00AF4EAD"/>
    <w:rPr>
      <w:i/>
      <w:iCs/>
      <w:color w:val="4472C4" w:themeColor="accent1"/>
    </w:rPr>
  </w:style>
  <w:style w:type="paragraph" w:styleId="FootnoteText">
    <w:name w:val="footnote text"/>
    <w:basedOn w:val="Normal"/>
    <w:link w:val="FootnoteTextChar"/>
    <w:uiPriority w:val="99"/>
    <w:semiHidden/>
    <w:unhideWhenUsed/>
    <w:rsid w:val="00F50D36"/>
    <w:pPr>
      <w:spacing w:after="0" w:line="240" w:lineRule="auto"/>
    </w:pPr>
    <w:rPr>
      <w:szCs w:val="20"/>
    </w:rPr>
  </w:style>
  <w:style w:type="character" w:customStyle="1" w:styleId="FootnoteTextChar">
    <w:name w:val="Footnote Text Char"/>
    <w:basedOn w:val="DefaultParagraphFont"/>
    <w:link w:val="FootnoteText"/>
    <w:uiPriority w:val="99"/>
    <w:semiHidden/>
    <w:rsid w:val="00F50D36"/>
    <w:rPr>
      <w:rFonts w:eastAsiaTheme="minorEastAsia" w:cstheme="minorBidi"/>
      <w:color w:val="000000" w:themeColor="text1"/>
      <w:sz w:val="20"/>
      <w:szCs w:val="20"/>
      <w:lang w:eastAsia="en-GB"/>
    </w:rPr>
  </w:style>
  <w:style w:type="character" w:styleId="FootnoteReference">
    <w:name w:val="footnote reference"/>
    <w:basedOn w:val="DefaultParagraphFont"/>
    <w:uiPriority w:val="99"/>
    <w:semiHidden/>
    <w:unhideWhenUsed/>
    <w:rsid w:val="00F50D36"/>
    <w:rPr>
      <w:vertAlign w:val="superscript"/>
    </w:rPr>
  </w:style>
  <w:style w:type="character" w:styleId="CommentReference">
    <w:name w:val="annotation reference"/>
    <w:basedOn w:val="DefaultParagraphFont"/>
    <w:uiPriority w:val="99"/>
    <w:semiHidden/>
    <w:unhideWhenUsed/>
    <w:rsid w:val="00597CD0"/>
    <w:rPr>
      <w:sz w:val="16"/>
      <w:szCs w:val="16"/>
    </w:rPr>
  </w:style>
  <w:style w:type="paragraph" w:styleId="CommentText">
    <w:name w:val="annotation text"/>
    <w:basedOn w:val="Normal"/>
    <w:link w:val="CommentTextChar"/>
    <w:uiPriority w:val="99"/>
    <w:unhideWhenUsed/>
    <w:rsid w:val="00597CD0"/>
    <w:pPr>
      <w:spacing w:line="240" w:lineRule="auto"/>
    </w:pPr>
    <w:rPr>
      <w:szCs w:val="20"/>
    </w:rPr>
  </w:style>
  <w:style w:type="character" w:customStyle="1" w:styleId="CommentTextChar">
    <w:name w:val="Comment Text Char"/>
    <w:basedOn w:val="DefaultParagraphFont"/>
    <w:link w:val="CommentText"/>
    <w:uiPriority w:val="99"/>
    <w:rsid w:val="00597CD0"/>
    <w:rPr>
      <w:rFonts w:eastAsiaTheme="minorEastAsia" w:cstheme="minorBidi"/>
      <w:color w:val="000000" w:themeColor="text1"/>
      <w:sz w:val="20"/>
      <w:szCs w:val="20"/>
      <w:lang w:eastAsia="en-GB"/>
    </w:rPr>
  </w:style>
  <w:style w:type="paragraph" w:styleId="CommentSubject">
    <w:name w:val="annotation subject"/>
    <w:basedOn w:val="CommentText"/>
    <w:next w:val="CommentText"/>
    <w:link w:val="CommentSubjectChar"/>
    <w:uiPriority w:val="99"/>
    <w:semiHidden/>
    <w:unhideWhenUsed/>
    <w:rsid w:val="00597CD0"/>
    <w:rPr>
      <w:b/>
      <w:bCs/>
    </w:rPr>
  </w:style>
  <w:style w:type="character" w:customStyle="1" w:styleId="CommentSubjectChar">
    <w:name w:val="Comment Subject Char"/>
    <w:basedOn w:val="CommentTextChar"/>
    <w:link w:val="CommentSubject"/>
    <w:uiPriority w:val="99"/>
    <w:semiHidden/>
    <w:rsid w:val="00597CD0"/>
    <w:rPr>
      <w:rFonts w:eastAsiaTheme="minorEastAsia" w:cstheme="minorBidi"/>
      <w:b/>
      <w:bCs/>
      <w:color w:val="000000" w:themeColor="text1"/>
      <w:sz w:val="20"/>
      <w:szCs w:val="20"/>
      <w:lang w:eastAsia="en-GB"/>
    </w:rPr>
  </w:style>
  <w:style w:type="character" w:styleId="FollowedHyperlink">
    <w:name w:val="FollowedHyperlink"/>
    <w:basedOn w:val="DefaultParagraphFont"/>
    <w:uiPriority w:val="99"/>
    <w:semiHidden/>
    <w:unhideWhenUsed/>
    <w:rsid w:val="006140B1"/>
    <w:rPr>
      <w:color w:val="954F72" w:themeColor="followedHyperlink"/>
      <w:u w:val="single"/>
    </w:rPr>
  </w:style>
  <w:style w:type="paragraph" w:styleId="Revision">
    <w:name w:val="Revision"/>
    <w:hidden/>
    <w:uiPriority w:val="99"/>
    <w:semiHidden/>
    <w:rsid w:val="00F96A3D"/>
    <w:rPr>
      <w:rFonts w:eastAsiaTheme="minorEastAsia" w:cstheme="minorBidi"/>
      <w:color w:val="000000" w:themeColor="text1"/>
      <w:sz w:val="20"/>
      <w:lang w:eastAsia="en-GB"/>
    </w:rPr>
  </w:style>
  <w:style w:type="paragraph" w:styleId="NormalWeb">
    <w:name w:val="Normal (Web)"/>
    <w:basedOn w:val="Normal"/>
    <w:uiPriority w:val="99"/>
    <w:semiHidden/>
    <w:unhideWhenUsed/>
    <w:rsid w:val="005E7E6D"/>
    <w:pPr>
      <w:spacing w:before="100" w:beforeAutospacing="1" w:after="100" w:afterAutospacing="1" w:line="240" w:lineRule="auto"/>
    </w:pPr>
    <w:rPr>
      <w:rFonts w:ascii="Times New Roman" w:eastAsia="Times New Roman" w:hAnsi="Times New Roman" w:cs="Times New Roman"/>
      <w:color w:val="auto"/>
      <w:sz w:val="24"/>
      <w:lang w:eastAsia="en-AU"/>
    </w:rPr>
  </w:style>
  <w:style w:type="character" w:styleId="Strong">
    <w:name w:val="Strong"/>
    <w:basedOn w:val="DefaultParagraphFont"/>
    <w:uiPriority w:val="22"/>
    <w:qFormat/>
    <w:rsid w:val="005E7E6D"/>
    <w:rPr>
      <w:b/>
      <w:bCs/>
    </w:rPr>
  </w:style>
  <w:style w:type="character" w:customStyle="1" w:styleId="Heading2Char">
    <w:name w:val="Heading 2 Char"/>
    <w:basedOn w:val="DefaultParagraphFont"/>
    <w:link w:val="Heading2"/>
    <w:uiPriority w:val="9"/>
    <w:rsid w:val="009E276A"/>
    <w:rPr>
      <w:rFonts w:eastAsia="DengXian Light" w:cs="Arial"/>
      <w:color w:val="000000"/>
      <w:sz w:val="33"/>
      <w:szCs w:val="3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1941801">
      <w:bodyDiv w:val="1"/>
      <w:marLeft w:val="0"/>
      <w:marRight w:val="0"/>
      <w:marTop w:val="0"/>
      <w:marBottom w:val="0"/>
      <w:divBdr>
        <w:top w:val="none" w:sz="0" w:space="0" w:color="auto"/>
        <w:left w:val="none" w:sz="0" w:space="0" w:color="auto"/>
        <w:bottom w:val="none" w:sz="0" w:space="0" w:color="auto"/>
        <w:right w:val="none" w:sz="0" w:space="0" w:color="auto"/>
      </w:divBdr>
    </w:div>
    <w:div w:id="1609384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devin.bowles@actcoss.org.au" TargetMode="Externa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icrc@act.gov.au"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_rels/header2.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93A2617EF7DB41893826E3ECAAB324" ma:contentTypeVersion="18" ma:contentTypeDescription="Create a new document." ma:contentTypeScope="" ma:versionID="ec8d3433106f785db509d69776db2a3f">
  <xsd:schema xmlns:xsd="http://www.w3.org/2001/XMLSchema" xmlns:xs="http://www.w3.org/2001/XMLSchema" xmlns:p="http://schemas.microsoft.com/office/2006/metadata/properties" xmlns:ns2="32918964-d11d-4bda-ba04-9b8184f6a173" xmlns:ns3="ef2741e4-cc31-428c-aca2-d2da616e4ed0" targetNamespace="http://schemas.microsoft.com/office/2006/metadata/properties" ma:root="true" ma:fieldsID="afc1c3dc6f83d4b8e0ee6ef9c9f0d246" ns2:_="" ns3:_="">
    <xsd:import namespace="32918964-d11d-4bda-ba04-9b8184f6a173"/>
    <xsd:import namespace="ef2741e4-cc31-428c-aca2-d2da616e4ed0"/>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3:SharedWithUsers" minOccurs="0"/>
                <xsd:element ref="ns3:SharedWithDetails" minOccurs="0"/>
                <xsd:element ref="ns2:MediaServiceLocation"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2918964-d11d-4bda-ba04-9b8184f6a17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ec8a2a78-f552-4495-aed7-c4dd8b0f315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f2741e4-cc31-428c-aca2-d2da616e4ed0"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93a9ae16-53fa-4810-8be8-89ac02ee10f6}" ma:internalName="TaxCatchAll" ma:showField="CatchAllData" ma:web="ef2741e4-cc31-428c-aca2-d2da616e4ed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ef2741e4-cc31-428c-aca2-d2da616e4ed0" xsi:nil="true"/>
    <lcf76f155ced4ddcb4097134ff3c332f xmlns="32918964-d11d-4bda-ba04-9b8184f6a173">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AAC03C-C4CD-420E-9266-7EA51D6118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2918964-d11d-4bda-ba04-9b8184f6a173"/>
    <ds:schemaRef ds:uri="ef2741e4-cc31-428c-aca2-d2da616e4ed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FE9DDA6-19D8-4F63-ADFF-0F2B71BCCE4F}">
  <ds:schemaRefs>
    <ds:schemaRef ds:uri="http://schemas.microsoft.com/office/2006/metadata/properties"/>
    <ds:schemaRef ds:uri="http://schemas.microsoft.com/office/infopath/2007/PartnerControls"/>
    <ds:schemaRef ds:uri="ef2741e4-cc31-428c-aca2-d2da616e4ed0"/>
    <ds:schemaRef ds:uri="32918964-d11d-4bda-ba04-9b8184f6a173"/>
  </ds:schemaRefs>
</ds:datastoreItem>
</file>

<file path=customXml/itemProps3.xml><?xml version="1.0" encoding="utf-8"?>
<ds:datastoreItem xmlns:ds="http://schemas.openxmlformats.org/officeDocument/2006/customXml" ds:itemID="{AE2FEDA7-97E5-4BAF-9890-6D9B8C22E870}">
  <ds:schemaRefs>
    <ds:schemaRef ds:uri="http://schemas.microsoft.com/sharepoint/v3/contenttype/forms"/>
  </ds:schemaRefs>
</ds:datastoreItem>
</file>

<file path=customXml/itemProps4.xml><?xml version="1.0" encoding="utf-8"?>
<ds:datastoreItem xmlns:ds="http://schemas.openxmlformats.org/officeDocument/2006/customXml" ds:itemID="{F8554AE2-DD35-4DE1-8D42-F0FD9CC825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6</Pages>
  <Words>1654</Words>
  <Characters>9450</Characters>
  <Application>Microsoft Office Word</Application>
  <DocSecurity>0</DocSecurity>
  <Lines>145</Lines>
  <Paragraphs>48</Paragraphs>
  <ScaleCrop>false</ScaleCrop>
  <Company/>
  <LinksUpToDate>false</LinksUpToDate>
  <CharactersWithSpaces>11056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Nicholas Castro</dc:creator>
  <cp:keywords/>
  <dc:description/>
  <cp:lastModifiedBy>Jason  Hudson-Pover</cp:lastModifiedBy>
  <cp:revision>24</cp:revision>
  <cp:lastPrinted>2026-08-11T03:26:00Z</cp:lastPrinted>
  <dcterms:created xsi:type="dcterms:W3CDTF">2026-09-09T03:49:00Z</dcterms:created>
  <dcterms:modified xsi:type="dcterms:W3CDTF">2026-09-09T23:25:00Z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0x010100A393A2617EF7DB41893826E3ECAAB324</vt:lpwstr>
  </property>
  <property fmtid="{D5CDD505-2E9C-101B-9397-08002B2CF9AE}" pid="3" name="MediaServiceImageTags">
    <vt:lpwstr/>
  </property>
</Properties>
</file>