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61FD8" w14:textId="03881E19" w:rsidR="00F22DD4" w:rsidRPr="009903E4" w:rsidRDefault="00F2187F" w:rsidP="00B50635">
      <w:pPr>
        <w:ind w:right="-8"/>
        <w:rPr>
          <w:rFonts w:cs="Arial"/>
          <w:szCs w:val="20"/>
        </w:rPr>
      </w:pPr>
      <w:r>
        <w:rPr>
          <w:rFonts w:cs="Arial"/>
          <w:szCs w:val="20"/>
        </w:rPr>
        <w:t>Mr Jame</w:t>
      </w:r>
      <w:r w:rsidR="008C45A5">
        <w:rPr>
          <w:rFonts w:cs="Arial"/>
          <w:szCs w:val="20"/>
        </w:rPr>
        <w:t>s</w:t>
      </w:r>
      <w:r>
        <w:rPr>
          <w:rFonts w:cs="Arial"/>
          <w:szCs w:val="20"/>
        </w:rPr>
        <w:t xml:space="preserve"> Milligan ML</w:t>
      </w:r>
      <w:r w:rsidR="008C45A5">
        <w:rPr>
          <w:rFonts w:cs="Arial"/>
          <w:szCs w:val="20"/>
        </w:rPr>
        <w:t>A</w:t>
      </w:r>
      <w:r>
        <w:rPr>
          <w:rFonts w:cs="Arial"/>
          <w:szCs w:val="20"/>
        </w:rPr>
        <w:br/>
        <w:t xml:space="preserve">Chair, </w:t>
      </w:r>
      <w:r w:rsidR="00F12673">
        <w:rPr>
          <w:rFonts w:cs="Arial"/>
          <w:szCs w:val="20"/>
        </w:rPr>
        <w:t>Standing Committee on Public Accounts and Administration</w:t>
      </w:r>
      <w:r w:rsidR="00B50635" w:rsidRPr="009903E4">
        <w:rPr>
          <w:rFonts w:cs="Arial"/>
          <w:szCs w:val="20"/>
        </w:rPr>
        <w:br/>
      </w:r>
      <w:r w:rsidR="00864FEB">
        <w:rPr>
          <w:rFonts w:cs="Arial"/>
          <w:szCs w:val="20"/>
        </w:rPr>
        <w:t>196 London Circuit</w:t>
      </w:r>
      <w:r w:rsidR="007950F6">
        <w:rPr>
          <w:rFonts w:cs="Arial"/>
          <w:szCs w:val="20"/>
        </w:rPr>
        <w:br/>
        <w:t>CANBERRA ACT 2601</w:t>
      </w:r>
      <w:r w:rsidR="00A63609">
        <w:rPr>
          <w:rFonts w:cs="Arial"/>
          <w:szCs w:val="20"/>
        </w:rPr>
        <w:br/>
      </w:r>
      <w:r w:rsidR="00AA45D4">
        <w:rPr>
          <w:rFonts w:cs="Arial"/>
          <w:szCs w:val="20"/>
        </w:rPr>
        <w:br/>
      </w:r>
      <w:r w:rsidR="00F22DD4">
        <w:rPr>
          <w:rFonts w:cs="Arial"/>
          <w:szCs w:val="20"/>
        </w:rPr>
        <w:t xml:space="preserve">By email: </w:t>
      </w:r>
      <w:hyperlink r:id="rId10" w:history="1">
        <w:r w:rsidR="00F22DD4" w:rsidRPr="00F22DD4">
          <w:rPr>
            <w:rStyle w:val="Hyperlink"/>
            <w:rFonts w:cs="Arial"/>
            <w:szCs w:val="20"/>
          </w:rPr>
          <w:t>LACommitteePAA@parliament.act.gov.au</w:t>
        </w:r>
      </w:hyperlink>
    </w:p>
    <w:p w14:paraId="14686272" w14:textId="77777777" w:rsidR="00B50635" w:rsidRPr="009903E4" w:rsidRDefault="00B50635" w:rsidP="00B50635">
      <w:pPr>
        <w:rPr>
          <w:rFonts w:cs="Arial"/>
          <w:szCs w:val="20"/>
        </w:rPr>
      </w:pPr>
    </w:p>
    <w:p w14:paraId="03957181" w14:textId="0112A081" w:rsidR="00B50635" w:rsidRDefault="00B50635" w:rsidP="00B50635">
      <w:pPr>
        <w:rPr>
          <w:rFonts w:cs="Arial"/>
          <w:szCs w:val="20"/>
        </w:rPr>
      </w:pPr>
      <w:r>
        <w:rPr>
          <w:rFonts w:cs="Arial"/>
          <w:szCs w:val="20"/>
        </w:rPr>
        <w:fldChar w:fldCharType="begin"/>
      </w:r>
      <w:r>
        <w:rPr>
          <w:rFonts w:cs="Arial"/>
          <w:szCs w:val="20"/>
        </w:rPr>
        <w:instrText xml:space="preserve"> DATE \@ "d MMMM yyyy" </w:instrText>
      </w:r>
      <w:r>
        <w:rPr>
          <w:rFonts w:cs="Arial"/>
          <w:szCs w:val="20"/>
        </w:rPr>
        <w:fldChar w:fldCharType="separate"/>
      </w:r>
      <w:r w:rsidR="00914737">
        <w:rPr>
          <w:rFonts w:cs="Arial"/>
          <w:noProof/>
          <w:szCs w:val="20"/>
        </w:rPr>
        <w:t>2 October 2026</w:t>
      </w:r>
      <w:r>
        <w:rPr>
          <w:rFonts w:cs="Arial"/>
          <w:szCs w:val="20"/>
        </w:rPr>
        <w:fldChar w:fldCharType="end"/>
      </w:r>
    </w:p>
    <w:p w14:paraId="1E3605A4" w14:textId="6D33E596" w:rsidR="00F2187F" w:rsidRDefault="00F2187F" w:rsidP="00B50635">
      <w:pPr>
        <w:rPr>
          <w:rFonts w:cs="Arial"/>
          <w:szCs w:val="20"/>
        </w:rPr>
      </w:pPr>
    </w:p>
    <w:p w14:paraId="21E5B535" w14:textId="5FD43B4E" w:rsidR="00F2187F" w:rsidRDefault="00F2187F" w:rsidP="00B50635">
      <w:pPr>
        <w:rPr>
          <w:rFonts w:cs="Arial"/>
          <w:szCs w:val="20"/>
        </w:rPr>
      </w:pPr>
      <w:r>
        <w:rPr>
          <w:rFonts w:cs="Arial"/>
          <w:szCs w:val="20"/>
        </w:rPr>
        <w:t>Dear Mr Milligan</w:t>
      </w:r>
    </w:p>
    <w:p w14:paraId="17301D49" w14:textId="19FE4DB2" w:rsidR="00B50635" w:rsidRDefault="00304830" w:rsidP="00AA15FD">
      <w:pPr>
        <w:pStyle w:val="Heading1"/>
      </w:pPr>
      <w:r>
        <w:t xml:space="preserve">Submission to </w:t>
      </w:r>
      <w:r w:rsidR="002179FD">
        <w:t>Inquiry into the Secure Local Jobs Code</w:t>
      </w:r>
    </w:p>
    <w:p w14:paraId="69D4D7C7" w14:textId="5F5BEBBE" w:rsidR="008C3F0A" w:rsidRPr="008C3F0A" w:rsidRDefault="002179FD" w:rsidP="008C3F0A">
      <w:pPr>
        <w:rPr>
          <w:rFonts w:cs="Arial"/>
          <w:szCs w:val="20"/>
        </w:rPr>
      </w:pPr>
      <w:r>
        <w:rPr>
          <w:rFonts w:cs="Arial"/>
          <w:szCs w:val="20"/>
        </w:rPr>
        <w:br/>
      </w:r>
      <w:r w:rsidR="008C3F0A" w:rsidRPr="008C3F0A">
        <w:rPr>
          <w:rFonts w:cs="Arial"/>
          <w:szCs w:val="20"/>
        </w:rPr>
        <w:t>The ACT Council of Social Service (ACTCOSS) welcomes the opportunity to provide comment on the Standing Committee on Public Accounts and Administration's Inquiry into the Secure Local Jobs Code</w:t>
      </w:r>
      <w:r w:rsidR="00FC2A08">
        <w:rPr>
          <w:rFonts w:cs="Arial"/>
          <w:szCs w:val="20"/>
        </w:rPr>
        <w:t xml:space="preserve"> (SLJC)</w:t>
      </w:r>
      <w:r w:rsidR="008C3F0A" w:rsidRPr="008C3F0A">
        <w:rPr>
          <w:rFonts w:cs="Arial"/>
          <w:szCs w:val="20"/>
        </w:rPr>
        <w:t>.</w:t>
      </w:r>
    </w:p>
    <w:p w14:paraId="2566D106" w14:textId="0DD713C0" w:rsidR="008C3F0A" w:rsidRPr="008C3F0A" w:rsidRDefault="008C3F0A" w:rsidP="008C3F0A">
      <w:pPr>
        <w:rPr>
          <w:rFonts w:cs="Arial"/>
          <w:szCs w:val="20"/>
        </w:rPr>
      </w:pPr>
      <w:r w:rsidRPr="008C3F0A">
        <w:rPr>
          <w:rFonts w:cs="Arial"/>
          <w:szCs w:val="20"/>
        </w:rPr>
        <w:t xml:space="preserve">ACTCOSS is the peak body for not-for-profit community organisations in the ACT. Our membership includes community-based service providers, community associations, networks and organisations that support people on low incomes and those experiencing disadvantage. We work in partnership with the community sector and Government to advance our vision of a thriving ACT, free from exclusion, hardship and poverty. </w:t>
      </w:r>
    </w:p>
    <w:p w14:paraId="44A07665" w14:textId="740EC53B" w:rsidR="00A322AB" w:rsidRPr="00A322AB" w:rsidRDefault="00A322AB" w:rsidP="00A322AB">
      <w:pPr>
        <w:rPr>
          <w:rFonts w:cs="Arial"/>
          <w:szCs w:val="20"/>
        </w:rPr>
      </w:pPr>
      <w:r w:rsidRPr="00A322AB">
        <w:rPr>
          <w:rFonts w:cs="Arial"/>
          <w:szCs w:val="20"/>
        </w:rPr>
        <w:t xml:space="preserve">Many ACTCOSS member organisations are subject to SLJC </w:t>
      </w:r>
      <w:r w:rsidR="00914737">
        <w:rPr>
          <w:rFonts w:cs="Arial"/>
          <w:szCs w:val="20"/>
        </w:rPr>
        <w:t>due to</w:t>
      </w:r>
      <w:r w:rsidRPr="00A322AB">
        <w:rPr>
          <w:rFonts w:cs="Arial"/>
          <w:szCs w:val="20"/>
        </w:rPr>
        <w:t xml:space="preserve"> their delivery of ACT Government-funded services. Organisations </w:t>
      </w:r>
      <w:proofErr w:type="gramStart"/>
      <w:r w:rsidRPr="00A322AB">
        <w:rPr>
          <w:rFonts w:cs="Arial"/>
          <w:szCs w:val="20"/>
        </w:rPr>
        <w:t>entering into</w:t>
      </w:r>
      <w:proofErr w:type="gramEnd"/>
      <w:r w:rsidRPr="00A322AB">
        <w:rPr>
          <w:rFonts w:cs="Arial"/>
          <w:szCs w:val="20"/>
        </w:rPr>
        <w:t xml:space="preserve"> funding and contractual arrangements above the relevant</w:t>
      </w:r>
      <w:r>
        <w:rPr>
          <w:rFonts w:cs="Arial"/>
          <w:szCs w:val="20"/>
        </w:rPr>
        <w:t xml:space="preserve"> procurement</w:t>
      </w:r>
      <w:r w:rsidRPr="00A322AB">
        <w:rPr>
          <w:rFonts w:cs="Arial"/>
          <w:szCs w:val="20"/>
        </w:rPr>
        <w:t xml:space="preserve"> threshold</w:t>
      </w:r>
      <w:r w:rsidR="001B5BA3">
        <w:rPr>
          <w:rFonts w:cs="Arial"/>
          <w:szCs w:val="20"/>
        </w:rPr>
        <w:t>s</w:t>
      </w:r>
      <w:r w:rsidRPr="00A322AB">
        <w:rPr>
          <w:rFonts w:cs="Arial"/>
          <w:szCs w:val="20"/>
        </w:rPr>
        <w:t xml:space="preserve"> are required to obtain and maintain Code certification as a condition of participating in </w:t>
      </w:r>
      <w:r w:rsidR="001B5BA3">
        <w:rPr>
          <w:rFonts w:cs="Arial"/>
          <w:szCs w:val="20"/>
        </w:rPr>
        <w:t>procurement</w:t>
      </w:r>
      <w:r w:rsidRPr="00A322AB">
        <w:rPr>
          <w:rFonts w:cs="Arial"/>
          <w:szCs w:val="20"/>
        </w:rPr>
        <w:t xml:space="preserve"> arrangements. As a result, the Code applies across a significant portion of the community services sector. </w:t>
      </w:r>
    </w:p>
    <w:p w14:paraId="5AEAC8B2" w14:textId="242E333B" w:rsidR="00A322AB" w:rsidRPr="00A322AB" w:rsidRDefault="00A322AB" w:rsidP="00A322AB">
      <w:pPr>
        <w:rPr>
          <w:rFonts w:cs="Arial"/>
          <w:szCs w:val="20"/>
        </w:rPr>
      </w:pPr>
      <w:r w:rsidRPr="00A322AB">
        <w:rPr>
          <w:rFonts w:cs="Arial"/>
          <w:szCs w:val="20"/>
        </w:rPr>
        <w:t xml:space="preserve">A consistent theme emerging from </w:t>
      </w:r>
      <w:r w:rsidR="00FB4EF7">
        <w:rPr>
          <w:rFonts w:cs="Arial"/>
          <w:szCs w:val="20"/>
        </w:rPr>
        <w:t xml:space="preserve">recent and historical </w:t>
      </w:r>
      <w:r w:rsidR="004F3D3D">
        <w:rPr>
          <w:rFonts w:cs="Arial"/>
          <w:szCs w:val="20"/>
        </w:rPr>
        <w:t xml:space="preserve">ACTCOSS </w:t>
      </w:r>
      <w:r w:rsidRPr="00A322AB">
        <w:rPr>
          <w:rFonts w:cs="Arial"/>
          <w:szCs w:val="20"/>
        </w:rPr>
        <w:t>consultation</w:t>
      </w:r>
      <w:r w:rsidR="004F3D3D">
        <w:rPr>
          <w:rFonts w:cs="Arial"/>
          <w:szCs w:val="20"/>
        </w:rPr>
        <w:t xml:space="preserve"> regarding the Code is</w:t>
      </w:r>
      <w:r w:rsidRPr="00A322AB">
        <w:rPr>
          <w:rFonts w:cs="Arial"/>
          <w:szCs w:val="20"/>
        </w:rPr>
        <w:t xml:space="preserve"> that</w:t>
      </w:r>
      <w:r w:rsidR="00817422">
        <w:rPr>
          <w:rFonts w:cs="Arial"/>
          <w:szCs w:val="20"/>
        </w:rPr>
        <w:t>, while</w:t>
      </w:r>
      <w:r w:rsidRPr="00A322AB">
        <w:rPr>
          <w:rFonts w:cs="Arial"/>
          <w:szCs w:val="20"/>
        </w:rPr>
        <w:t xml:space="preserve"> organisations c</w:t>
      </w:r>
      <w:r w:rsidR="004F3D3D">
        <w:rPr>
          <w:rFonts w:cs="Arial"/>
          <w:szCs w:val="20"/>
        </w:rPr>
        <w:t>an</w:t>
      </w:r>
      <w:r w:rsidRPr="00A322AB">
        <w:rPr>
          <w:rFonts w:cs="Arial"/>
          <w:szCs w:val="20"/>
        </w:rPr>
        <w:t xml:space="preserve"> readily identify the costs associated with participation in the </w:t>
      </w:r>
      <w:r w:rsidR="004F3D3D">
        <w:rPr>
          <w:rFonts w:cs="Arial"/>
          <w:szCs w:val="20"/>
        </w:rPr>
        <w:t xml:space="preserve">SLJC </w:t>
      </w:r>
      <w:r w:rsidRPr="00A322AB">
        <w:rPr>
          <w:rFonts w:cs="Arial"/>
          <w:szCs w:val="20"/>
        </w:rPr>
        <w:t xml:space="preserve">scheme, including certification costs, audit requirements, compliance obligations and administrative workload, </w:t>
      </w:r>
      <w:r w:rsidR="00817422">
        <w:rPr>
          <w:rFonts w:cs="Arial"/>
          <w:szCs w:val="20"/>
        </w:rPr>
        <w:t>they are</w:t>
      </w:r>
      <w:r w:rsidRPr="00A322AB">
        <w:rPr>
          <w:rFonts w:cs="Arial"/>
          <w:szCs w:val="20"/>
        </w:rPr>
        <w:t xml:space="preserve"> unable to identify corresponding improvements in workforce outcomes, organisational practice or service delivery arising from its application. </w:t>
      </w:r>
      <w:r w:rsidR="00914737">
        <w:rPr>
          <w:rFonts w:cs="Arial"/>
          <w:szCs w:val="20"/>
        </w:rPr>
        <w:t>In all our consultation and discussions with members on this Secure Local Jobs and its application to the community sector in the last three years, not one has had a single example of the Code resulting in more secure employment or keeping employment in the ACT.</w:t>
      </w:r>
    </w:p>
    <w:p w14:paraId="7C2243DB" w14:textId="1B2E7438" w:rsidR="00A322AB" w:rsidRPr="00A322AB" w:rsidRDefault="00836260" w:rsidP="00A322AB">
      <w:pPr>
        <w:rPr>
          <w:rFonts w:cs="Arial"/>
          <w:szCs w:val="20"/>
        </w:rPr>
      </w:pPr>
      <w:r>
        <w:rPr>
          <w:rFonts w:cs="Arial"/>
          <w:szCs w:val="20"/>
        </w:rPr>
        <w:t xml:space="preserve">This is further compounded by the absence </w:t>
      </w:r>
      <w:r w:rsidR="00326939" w:rsidRPr="00326939">
        <w:rPr>
          <w:rFonts w:cs="Arial"/>
          <w:szCs w:val="20"/>
        </w:rPr>
        <w:t xml:space="preserve">of publicly available evidence demonstrating measurable benefits arising from the Code for community service organisations, workers or service users. </w:t>
      </w:r>
      <w:r w:rsidR="00EB3227" w:rsidRPr="00EB3227">
        <w:rPr>
          <w:rFonts w:cs="Arial"/>
          <w:szCs w:val="20"/>
        </w:rPr>
        <w:t>ACTCOSS is not aware that the findings of the legislated review completed in 2021 were publicly released, nor is it aware of any subsequent reviews or evaluations that have been made publicly available.</w:t>
      </w:r>
      <w:r w:rsidR="00EB3227">
        <w:rPr>
          <w:rFonts w:cs="Arial"/>
          <w:szCs w:val="20"/>
        </w:rPr>
        <w:t xml:space="preserve"> </w:t>
      </w:r>
      <w:r w:rsidR="00326939" w:rsidRPr="00326939">
        <w:rPr>
          <w:rFonts w:cs="Arial"/>
          <w:szCs w:val="20"/>
        </w:rPr>
        <w:t>Consequently, stakeholders have limited visibility of the outcomes achieved through implementation of the SLJC and whether those outcomes are proportionate to the costs associated with participation.</w:t>
      </w:r>
    </w:p>
    <w:p w14:paraId="499217AD" w14:textId="3748DF7B" w:rsidR="00A322AB" w:rsidRPr="00A322AB" w:rsidRDefault="00A322AB" w:rsidP="00A322AB">
      <w:pPr>
        <w:rPr>
          <w:rFonts w:cs="Arial"/>
          <w:szCs w:val="20"/>
        </w:rPr>
      </w:pPr>
      <w:r w:rsidRPr="00A322AB">
        <w:rPr>
          <w:rFonts w:cs="Arial"/>
          <w:szCs w:val="20"/>
        </w:rPr>
        <w:lastRenderedPageBreak/>
        <w:t xml:space="preserve">These issues are particularly significant in </w:t>
      </w:r>
      <w:r w:rsidR="000A69FE">
        <w:rPr>
          <w:rFonts w:cs="Arial"/>
          <w:szCs w:val="20"/>
        </w:rPr>
        <w:t>a</w:t>
      </w:r>
      <w:r w:rsidRPr="00A322AB">
        <w:rPr>
          <w:rFonts w:cs="Arial"/>
          <w:szCs w:val="20"/>
        </w:rPr>
        <w:t xml:space="preserve"> community services sector</w:t>
      </w:r>
      <w:r w:rsidR="000A69FE">
        <w:rPr>
          <w:rFonts w:cs="Arial"/>
          <w:szCs w:val="20"/>
        </w:rPr>
        <w:t xml:space="preserve"> context</w:t>
      </w:r>
      <w:r w:rsidRPr="00A322AB">
        <w:rPr>
          <w:rFonts w:cs="Arial"/>
          <w:szCs w:val="20"/>
        </w:rPr>
        <w:t xml:space="preserve">. Community organisations already operate within extensive workplace, governance, funding, regulatory and quality assurance frameworks and are subject to significant oversight through legislation, funding agreements, accreditation requirements, quality standards and independent audits. </w:t>
      </w:r>
      <w:r w:rsidR="000A69FE">
        <w:rPr>
          <w:rFonts w:cs="Arial"/>
          <w:szCs w:val="20"/>
        </w:rPr>
        <w:t>Further</w:t>
      </w:r>
      <w:r w:rsidRPr="00A322AB">
        <w:rPr>
          <w:rFonts w:cs="Arial"/>
          <w:szCs w:val="20"/>
        </w:rPr>
        <w:t>, organisations face increasing demand for services</w:t>
      </w:r>
      <w:r w:rsidR="00A02C0B">
        <w:rPr>
          <w:rFonts w:cs="Arial"/>
          <w:szCs w:val="20"/>
        </w:rPr>
        <w:t xml:space="preserve"> and</w:t>
      </w:r>
      <w:r w:rsidRPr="00A322AB">
        <w:rPr>
          <w:rFonts w:cs="Arial"/>
          <w:szCs w:val="20"/>
        </w:rPr>
        <w:t xml:space="preserve"> growing workforce </w:t>
      </w:r>
      <w:r w:rsidR="00A02C0B">
        <w:rPr>
          <w:rFonts w:cs="Arial"/>
          <w:szCs w:val="20"/>
        </w:rPr>
        <w:t xml:space="preserve">and other operational </w:t>
      </w:r>
      <w:r w:rsidRPr="00A322AB">
        <w:rPr>
          <w:rFonts w:cs="Arial"/>
          <w:szCs w:val="20"/>
        </w:rPr>
        <w:t xml:space="preserve">pressures </w:t>
      </w:r>
      <w:r w:rsidR="00A02C0B">
        <w:rPr>
          <w:rFonts w:cs="Arial"/>
          <w:szCs w:val="20"/>
        </w:rPr>
        <w:t>in a resource-</w:t>
      </w:r>
      <w:r w:rsidRPr="00A322AB">
        <w:rPr>
          <w:rFonts w:cs="Arial"/>
          <w:szCs w:val="20"/>
        </w:rPr>
        <w:t xml:space="preserve">constrained </w:t>
      </w:r>
      <w:r w:rsidR="00A02C0B">
        <w:rPr>
          <w:rFonts w:cs="Arial"/>
          <w:szCs w:val="20"/>
        </w:rPr>
        <w:t>environment</w:t>
      </w:r>
      <w:r w:rsidRPr="00A322AB">
        <w:rPr>
          <w:rFonts w:cs="Arial"/>
          <w:szCs w:val="20"/>
        </w:rPr>
        <w:t xml:space="preserve">. </w:t>
      </w:r>
      <w:r w:rsidR="00A02C0B">
        <w:rPr>
          <w:rFonts w:cs="Arial"/>
          <w:szCs w:val="20"/>
        </w:rPr>
        <w:t>A</w:t>
      </w:r>
      <w:r w:rsidRPr="00A322AB">
        <w:rPr>
          <w:rFonts w:cs="Arial"/>
          <w:szCs w:val="20"/>
        </w:rPr>
        <w:t xml:space="preserve">dditional compliance and assurance requirements </w:t>
      </w:r>
      <w:r w:rsidR="00A02C0B">
        <w:rPr>
          <w:rFonts w:cs="Arial"/>
          <w:szCs w:val="20"/>
        </w:rPr>
        <w:t xml:space="preserve">thereby </w:t>
      </w:r>
      <w:r w:rsidRPr="00A322AB">
        <w:rPr>
          <w:rFonts w:cs="Arial"/>
          <w:szCs w:val="20"/>
        </w:rPr>
        <w:t xml:space="preserve">inevitably divert resources that could otherwise be invested in frontline service delivery, workforce capability and service improvement. </w:t>
      </w:r>
    </w:p>
    <w:p w14:paraId="2BA66684" w14:textId="097A2415" w:rsidR="006A5222" w:rsidRPr="00FF2085" w:rsidRDefault="00A322AB" w:rsidP="008C3F0A">
      <w:pPr>
        <w:rPr>
          <w:rFonts w:cs="Arial"/>
          <w:szCs w:val="20"/>
        </w:rPr>
      </w:pPr>
      <w:r w:rsidRPr="00A322AB">
        <w:rPr>
          <w:rFonts w:cs="Arial"/>
          <w:szCs w:val="20"/>
        </w:rPr>
        <w:t xml:space="preserve">ACTCOSS has consistently argued that workforce stability in community services is shaped primarily by funding certainty, adequate indexation and sustainable commissioning arrangements. </w:t>
      </w:r>
      <w:r w:rsidR="005A1198">
        <w:rPr>
          <w:rFonts w:cs="Arial"/>
          <w:szCs w:val="20"/>
        </w:rPr>
        <w:t>Accordingly</w:t>
      </w:r>
      <w:r w:rsidRPr="00A322AB">
        <w:rPr>
          <w:rFonts w:cs="Arial"/>
          <w:szCs w:val="20"/>
        </w:rPr>
        <w:t xml:space="preserve">, ACTCOSS considers that any assessment of </w:t>
      </w:r>
      <w:r w:rsidR="000E4E59">
        <w:rPr>
          <w:rFonts w:cs="Arial"/>
          <w:szCs w:val="20"/>
        </w:rPr>
        <w:t>SLJC</w:t>
      </w:r>
      <w:r w:rsidRPr="00A322AB">
        <w:rPr>
          <w:rFonts w:cs="Arial"/>
          <w:szCs w:val="20"/>
        </w:rPr>
        <w:t xml:space="preserve"> should </w:t>
      </w:r>
      <w:r w:rsidR="00B6095F">
        <w:rPr>
          <w:rFonts w:cs="Arial"/>
          <w:szCs w:val="20"/>
        </w:rPr>
        <w:t>determine</w:t>
      </w:r>
      <w:r w:rsidRPr="00A322AB">
        <w:rPr>
          <w:rFonts w:cs="Arial"/>
          <w:szCs w:val="20"/>
        </w:rPr>
        <w:t xml:space="preserve"> not only whether it delivers benefits beyond existing accountability mechanisms, but also whether it represents the most effective </w:t>
      </w:r>
      <w:r w:rsidR="005A1198">
        <w:rPr>
          <w:rFonts w:cs="Arial"/>
          <w:szCs w:val="20"/>
        </w:rPr>
        <w:t xml:space="preserve">and </w:t>
      </w:r>
      <w:r w:rsidR="008D6A5E">
        <w:rPr>
          <w:rFonts w:cs="Arial"/>
          <w:szCs w:val="20"/>
        </w:rPr>
        <w:t xml:space="preserve">efficient </w:t>
      </w:r>
      <w:r w:rsidRPr="00A322AB">
        <w:rPr>
          <w:rFonts w:cs="Arial"/>
          <w:szCs w:val="20"/>
        </w:rPr>
        <w:t>means of improving workforce outcomes within the community services sector.</w:t>
      </w:r>
    </w:p>
    <w:tbl>
      <w:tblPr>
        <w:tblStyle w:val="TableGrid"/>
        <w:tblW w:w="0" w:type="auto"/>
        <w:shd w:val="clear" w:color="auto" w:fill="FFF2CC" w:themeFill="accent4" w:themeFillTint="33"/>
        <w:tblCellMar>
          <w:top w:w="113" w:type="dxa"/>
          <w:bottom w:w="113" w:type="dxa"/>
        </w:tblCellMar>
        <w:tblLook w:val="04A0" w:firstRow="1" w:lastRow="0" w:firstColumn="1" w:lastColumn="0" w:noHBand="0" w:noVBand="1"/>
      </w:tblPr>
      <w:tblGrid>
        <w:gridCol w:w="10188"/>
      </w:tblGrid>
      <w:tr w:rsidR="00D00CE1" w14:paraId="73CF7932" w14:textId="77777777" w:rsidTr="00FA0E8C">
        <w:trPr>
          <w:trHeight w:val="4409"/>
        </w:trPr>
        <w:tc>
          <w:tcPr>
            <w:tcW w:w="10188" w:type="dxa"/>
            <w:shd w:val="clear" w:color="auto" w:fill="F2F2F2" w:themeFill="background1" w:themeFillShade="F2"/>
          </w:tcPr>
          <w:p w14:paraId="38CF9CA5" w14:textId="0B288A14" w:rsidR="00FF2085" w:rsidRPr="00D51AA4" w:rsidRDefault="00D00CE1" w:rsidP="00FF2085">
            <w:pPr>
              <w:rPr>
                <w:rFonts w:asciiTheme="majorHAnsi" w:eastAsiaTheme="majorEastAsia" w:hAnsiTheme="majorHAnsi" w:cstheme="majorBidi"/>
                <w:color w:val="2F5496" w:themeColor="accent1" w:themeShade="BF"/>
                <w:sz w:val="26"/>
                <w:szCs w:val="26"/>
              </w:rPr>
            </w:pPr>
            <w:r>
              <w:rPr>
                <w:rFonts w:cs="Arial"/>
                <w:szCs w:val="20"/>
              </w:rPr>
              <w:t xml:space="preserve"> </w:t>
            </w:r>
            <w:r w:rsidR="00FF2085" w:rsidRPr="00D51AA4">
              <w:rPr>
                <w:rFonts w:asciiTheme="majorHAnsi" w:eastAsiaTheme="majorEastAsia" w:hAnsiTheme="majorHAnsi" w:cstheme="majorBidi"/>
                <w:color w:val="2F5496" w:themeColor="accent1" w:themeShade="BF"/>
                <w:sz w:val="26"/>
                <w:szCs w:val="26"/>
              </w:rPr>
              <w:t>Recommendations</w:t>
            </w:r>
            <w:r w:rsidR="00671759">
              <w:rPr>
                <w:rFonts w:asciiTheme="majorHAnsi" w:eastAsiaTheme="majorEastAsia" w:hAnsiTheme="majorHAnsi" w:cstheme="majorBidi"/>
                <w:color w:val="2F5496" w:themeColor="accent1" w:themeShade="BF"/>
                <w:sz w:val="26"/>
                <w:szCs w:val="26"/>
              </w:rPr>
              <w:t xml:space="preserve"> </w:t>
            </w:r>
          </w:p>
          <w:p w14:paraId="0FB93465" w14:textId="10087349" w:rsidR="00FF2085" w:rsidRPr="00D51AA4" w:rsidRDefault="00FF2085" w:rsidP="00FF2085">
            <w:pPr>
              <w:rPr>
                <w:rFonts w:cs="Arial"/>
                <w:szCs w:val="20"/>
              </w:rPr>
            </w:pPr>
            <w:r w:rsidRPr="00D51AA4">
              <w:rPr>
                <w:rFonts w:cs="Arial"/>
                <w:szCs w:val="20"/>
              </w:rPr>
              <w:t xml:space="preserve">ACTCOSS proposes the following </w:t>
            </w:r>
            <w:r w:rsidR="00920AD6">
              <w:rPr>
                <w:rFonts w:cs="Arial"/>
                <w:szCs w:val="20"/>
              </w:rPr>
              <w:t>recommendation</w:t>
            </w:r>
            <w:r w:rsidR="00D87154">
              <w:rPr>
                <w:rFonts w:cs="Arial"/>
                <w:szCs w:val="20"/>
              </w:rPr>
              <w:t>s:</w:t>
            </w:r>
          </w:p>
          <w:p w14:paraId="6387E54F" w14:textId="7FE87ACD" w:rsidR="00622F3C" w:rsidRDefault="00622F3C" w:rsidP="00622F3C">
            <w:pPr>
              <w:numPr>
                <w:ilvl w:val="0"/>
                <w:numId w:val="3"/>
              </w:numPr>
              <w:rPr>
                <w:rFonts w:cs="Arial"/>
                <w:szCs w:val="20"/>
              </w:rPr>
            </w:pPr>
            <w:r>
              <w:rPr>
                <w:rFonts w:cs="Arial"/>
                <w:b/>
                <w:bCs/>
                <w:szCs w:val="20"/>
              </w:rPr>
              <w:t xml:space="preserve">Recommendation 1: </w:t>
            </w:r>
            <w:r w:rsidRPr="00C27977">
              <w:rPr>
                <w:rFonts w:cs="Arial"/>
                <w:b/>
                <w:bCs/>
                <w:szCs w:val="20"/>
              </w:rPr>
              <w:t>Exempt community service organisations from the Secure Local Jobs Code.</w:t>
            </w:r>
            <w:r w:rsidRPr="00C27977">
              <w:rPr>
                <w:rFonts w:cs="Arial"/>
                <w:szCs w:val="20"/>
              </w:rPr>
              <w:t xml:space="preserve"> </w:t>
            </w:r>
          </w:p>
          <w:p w14:paraId="1AB9C0DB" w14:textId="4627DCA3" w:rsidR="00486B69" w:rsidRPr="00486B69" w:rsidRDefault="00486B69" w:rsidP="003B29C8">
            <w:pPr>
              <w:ind w:left="720"/>
              <w:rPr>
                <w:rFonts w:cs="Arial"/>
                <w:szCs w:val="20"/>
              </w:rPr>
            </w:pPr>
            <w:r w:rsidRPr="00486B69">
              <w:rPr>
                <w:rFonts w:cs="Arial"/>
                <w:szCs w:val="20"/>
              </w:rPr>
              <w:t>ACTCOSS recommends that community service organisations be exempt from the Secure Local Jobs Code</w:t>
            </w:r>
            <w:r w:rsidR="003B29C8">
              <w:rPr>
                <w:rFonts w:cs="Arial"/>
                <w:szCs w:val="20"/>
              </w:rPr>
              <w:t xml:space="preserve">, noting the absence of clear evidence to demonstrate the Code’s </w:t>
            </w:r>
            <w:r w:rsidR="00CC68B4">
              <w:rPr>
                <w:rFonts w:cs="Arial"/>
                <w:szCs w:val="20"/>
              </w:rPr>
              <w:t>benefit in</w:t>
            </w:r>
            <w:r w:rsidRPr="00486B69">
              <w:rPr>
                <w:rFonts w:cs="Arial"/>
                <w:szCs w:val="20"/>
              </w:rPr>
              <w:t xml:space="preserve"> improving workforce outcomes, strengthening employment security, improving compliance outcomes or enhancing service delivery within the community services sector. </w:t>
            </w:r>
          </w:p>
          <w:p w14:paraId="231C7C74" w14:textId="735170A2" w:rsidR="00D00CE1" w:rsidRPr="00E36E1C" w:rsidRDefault="00622F3C" w:rsidP="00E36E1C">
            <w:pPr>
              <w:pStyle w:val="ListParagraph"/>
              <w:numPr>
                <w:ilvl w:val="0"/>
                <w:numId w:val="3"/>
              </w:numPr>
              <w:rPr>
                <w:rFonts w:cs="Arial"/>
                <w:szCs w:val="20"/>
              </w:rPr>
            </w:pPr>
            <w:r w:rsidRPr="00E36E1C">
              <w:rPr>
                <w:rFonts w:cs="Arial"/>
                <w:b/>
                <w:bCs/>
                <w:szCs w:val="20"/>
              </w:rPr>
              <w:t>Recommendation 2: Strengthen employment security through sustainable funding arrangements for the community services sector</w:t>
            </w:r>
            <w:r w:rsidR="00D01EF2" w:rsidRPr="00E36E1C">
              <w:rPr>
                <w:rFonts w:cs="Arial"/>
                <w:b/>
                <w:bCs/>
                <w:szCs w:val="20"/>
              </w:rPr>
              <w:t>.</w:t>
            </w:r>
          </w:p>
          <w:p w14:paraId="2CDB4AC0" w14:textId="0C178F07" w:rsidR="00D01EF2" w:rsidRPr="00622F3C" w:rsidRDefault="00FE52A5" w:rsidP="00105E9C">
            <w:pPr>
              <w:ind w:left="720"/>
              <w:rPr>
                <w:rFonts w:cs="Arial"/>
                <w:szCs w:val="20"/>
              </w:rPr>
            </w:pPr>
            <w:r w:rsidRPr="00FE52A5">
              <w:rPr>
                <w:rFonts w:cs="Arial"/>
                <w:szCs w:val="20"/>
              </w:rPr>
              <w:t>For community service organisations, workforce security is fundamentally shaped by funding security. When funding is short-term, uncertain or fails to keep pace with costs, organisations face significant constraints in offering secure employment and retaining skilled staff. By contrast, stable and adequately funded service agreements provide the certainty required to support long-term workforce planning, secure jobs and staff retention.</w:t>
            </w:r>
            <w:r>
              <w:rPr>
                <w:rFonts w:cs="Arial"/>
                <w:szCs w:val="20"/>
              </w:rPr>
              <w:t xml:space="preserve"> </w:t>
            </w:r>
            <w:r w:rsidR="00D01EF2" w:rsidRPr="00D01EF2">
              <w:rPr>
                <w:rFonts w:cs="Arial"/>
                <w:szCs w:val="20"/>
              </w:rPr>
              <w:t xml:space="preserve">ACTCOSS recommends that the ACT Government strengthen employment security through </w:t>
            </w:r>
            <w:r w:rsidR="00267390">
              <w:rPr>
                <w:rFonts w:cs="Arial"/>
                <w:szCs w:val="20"/>
              </w:rPr>
              <w:t>enhanced</w:t>
            </w:r>
            <w:r w:rsidR="00D01EF2" w:rsidRPr="00D01EF2">
              <w:rPr>
                <w:rFonts w:cs="Arial"/>
                <w:szCs w:val="20"/>
              </w:rPr>
              <w:t xml:space="preserve"> indexation, longer-term funding commitments and commissioning approaches that reflect the genuine cost of service delivery.</w:t>
            </w:r>
          </w:p>
        </w:tc>
      </w:tr>
    </w:tbl>
    <w:p w14:paraId="61A65E1D" w14:textId="77777777" w:rsidR="00A63609" w:rsidRDefault="00A63609" w:rsidP="00A63609">
      <w:pPr>
        <w:rPr>
          <w:rFonts w:cs="Arial"/>
          <w:szCs w:val="20"/>
        </w:rPr>
      </w:pPr>
    </w:p>
    <w:p w14:paraId="79274269" w14:textId="038D476C" w:rsidR="00064A80" w:rsidRPr="00C428D4" w:rsidRDefault="00E36E1C" w:rsidP="00C428D4">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Community services operate within existing accountability frameworks</w:t>
      </w:r>
    </w:p>
    <w:p w14:paraId="0F45ED29" w14:textId="77777777" w:rsidR="00A84EDD" w:rsidRPr="00A84EDD" w:rsidRDefault="00A84EDD" w:rsidP="00A84EDD">
      <w:pPr>
        <w:rPr>
          <w:rFonts w:cs="Arial"/>
          <w:szCs w:val="20"/>
        </w:rPr>
      </w:pPr>
      <w:r w:rsidRPr="00A84EDD">
        <w:rPr>
          <w:rFonts w:cs="Arial"/>
          <w:szCs w:val="20"/>
        </w:rPr>
        <w:t>The community services sector is a major employer in the ACT and plays a critical role in supporting people experiencing disadvantage, vulnerability and exclusion. ACTCOSS members deliver a diverse range of essential services, including housing and homelessness services, community housing, mental health supports, disability advocacy, family and domestic violence services, youth services, community development initiatives, alcohol and other drug services, and multicultural support programs.</w:t>
      </w:r>
    </w:p>
    <w:p w14:paraId="6CD5CF58" w14:textId="2F06B7B0" w:rsidR="009D4E62" w:rsidRDefault="00E83D33" w:rsidP="009D4E62">
      <w:pPr>
        <w:rPr>
          <w:rFonts w:cs="Arial"/>
          <w:szCs w:val="20"/>
        </w:rPr>
      </w:pPr>
      <w:r w:rsidRPr="00E83D33">
        <w:rPr>
          <w:rFonts w:cs="Arial"/>
          <w:szCs w:val="20"/>
        </w:rPr>
        <w:lastRenderedPageBreak/>
        <w:t xml:space="preserve">Community organisations do not operate in an unregulated environment. </w:t>
      </w:r>
      <w:r w:rsidR="009D4E62" w:rsidRPr="009D4E62">
        <w:rPr>
          <w:rFonts w:cs="Arial"/>
          <w:szCs w:val="20"/>
        </w:rPr>
        <w:t xml:space="preserve">Depending on the services delivered, organisations may be required to comply with funding agreement obligations, Fair Work requirements, enterprise agreements, NDIS obligations, Child Safe Standards, quality assurance frameworks, community housing regulation and work health and safety legislation. </w:t>
      </w:r>
      <w:r w:rsidR="00330A80">
        <w:rPr>
          <w:rFonts w:cs="Arial"/>
          <w:szCs w:val="20"/>
        </w:rPr>
        <w:t xml:space="preserve">The vast majority also have ACNC reporting </w:t>
      </w:r>
      <w:r w:rsidR="003C5936">
        <w:rPr>
          <w:rFonts w:cs="Arial"/>
          <w:szCs w:val="20"/>
        </w:rPr>
        <w:t>requirements, which is a level of transparency not required for many similarly sized for-profit business</w:t>
      </w:r>
      <w:r w:rsidR="00F04AF8">
        <w:rPr>
          <w:rFonts w:cs="Arial"/>
          <w:szCs w:val="20"/>
        </w:rPr>
        <w:t>es</w:t>
      </w:r>
      <w:r w:rsidR="00330A80">
        <w:rPr>
          <w:rFonts w:cs="Arial"/>
          <w:szCs w:val="20"/>
        </w:rPr>
        <w:t>.</w:t>
      </w:r>
      <w:r w:rsidR="003C5936">
        <w:rPr>
          <w:rFonts w:cs="Arial"/>
          <w:szCs w:val="20"/>
        </w:rPr>
        <w:t xml:space="preserve"> </w:t>
      </w:r>
      <w:r w:rsidR="009D4E62" w:rsidRPr="009D4E62">
        <w:rPr>
          <w:rFonts w:cs="Arial"/>
          <w:szCs w:val="20"/>
        </w:rPr>
        <w:t>Together, these obligations already create a substantial framework of accountability and workforce protection.</w:t>
      </w:r>
    </w:p>
    <w:p w14:paraId="4B8FDEF7" w14:textId="11900F8E" w:rsidR="0044528B" w:rsidRPr="0044528B" w:rsidRDefault="0044528B" w:rsidP="0044528B">
      <w:pPr>
        <w:rPr>
          <w:rFonts w:cs="Arial"/>
          <w:szCs w:val="20"/>
        </w:rPr>
      </w:pPr>
      <w:r w:rsidRPr="0044528B">
        <w:rPr>
          <w:rFonts w:cs="Arial"/>
          <w:szCs w:val="20"/>
        </w:rPr>
        <w:t xml:space="preserve">Community organisations are also distinct from many other entities captured by the Code in that </w:t>
      </w:r>
      <w:r>
        <w:rPr>
          <w:rFonts w:cs="Arial"/>
          <w:szCs w:val="20"/>
        </w:rPr>
        <w:t xml:space="preserve">a large proportion of services </w:t>
      </w:r>
      <w:r w:rsidRPr="0044528B">
        <w:rPr>
          <w:rFonts w:cs="Arial"/>
          <w:szCs w:val="20"/>
        </w:rPr>
        <w:t xml:space="preserve">operate on a not-for-profit basis and deliver services within finite funding envelopes. Compliance costs are not absorbed as a reduction in </w:t>
      </w:r>
      <w:proofErr w:type="gramStart"/>
      <w:r w:rsidRPr="0044528B">
        <w:rPr>
          <w:rFonts w:cs="Arial"/>
          <w:szCs w:val="20"/>
        </w:rPr>
        <w:t>profit, but</w:t>
      </w:r>
      <w:proofErr w:type="gramEnd"/>
      <w:r w:rsidRPr="0044528B">
        <w:rPr>
          <w:rFonts w:cs="Arial"/>
          <w:szCs w:val="20"/>
        </w:rPr>
        <w:t xml:space="preserve"> instead represent resources that could otherwise be directed towards frontline service delivery, workforce development or service quality. This makes it particularly important that any additional compliance requirements demonstrate a clear and proportionate benefit to the sector and the communities it serves</w:t>
      </w:r>
      <w:r w:rsidR="00C658D2">
        <w:rPr>
          <w:rFonts w:cs="Arial"/>
          <w:szCs w:val="20"/>
        </w:rPr>
        <w:t>, and the value proposition of SLJC</w:t>
      </w:r>
      <w:r w:rsidR="003F5B52">
        <w:rPr>
          <w:rFonts w:cs="Arial"/>
          <w:szCs w:val="20"/>
        </w:rPr>
        <w:t xml:space="preserve"> compliance is not evidence in this context.</w:t>
      </w:r>
    </w:p>
    <w:p w14:paraId="43656D0F" w14:textId="572462EB" w:rsidR="00C428D4" w:rsidRDefault="003F5B52" w:rsidP="00A84EDD">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 xml:space="preserve">Outcomes and </w:t>
      </w:r>
      <w:r w:rsidR="00DE5377">
        <w:rPr>
          <w:rFonts w:asciiTheme="majorHAnsi" w:eastAsiaTheme="majorEastAsia" w:hAnsiTheme="majorHAnsi" w:cstheme="majorBidi"/>
          <w:color w:val="2F5496" w:themeColor="accent1" w:themeShade="BF"/>
          <w:sz w:val="26"/>
          <w:szCs w:val="26"/>
        </w:rPr>
        <w:t xml:space="preserve">effectiveness </w:t>
      </w:r>
      <w:r>
        <w:rPr>
          <w:rFonts w:asciiTheme="majorHAnsi" w:eastAsiaTheme="majorEastAsia" w:hAnsiTheme="majorHAnsi" w:cstheme="majorBidi"/>
          <w:color w:val="2F5496" w:themeColor="accent1" w:themeShade="BF"/>
          <w:sz w:val="26"/>
          <w:szCs w:val="26"/>
        </w:rPr>
        <w:t>of the Secure Local Jobs Code</w:t>
      </w:r>
    </w:p>
    <w:p w14:paraId="76499E9B" w14:textId="77777777" w:rsidR="00DE5377" w:rsidRPr="00DE5377" w:rsidRDefault="00DE5377" w:rsidP="00DE5377">
      <w:pPr>
        <w:rPr>
          <w:rFonts w:cs="Arial"/>
          <w:szCs w:val="20"/>
        </w:rPr>
      </w:pPr>
      <w:r w:rsidRPr="00DE5377">
        <w:rPr>
          <w:rFonts w:cs="Arial"/>
          <w:szCs w:val="20"/>
        </w:rPr>
        <w:t>ACTCOSS supports the objectives underpinning the Secure Local Jobs Code, including promoting lawful workplace practices and reducing insecure work. However, support for these objectives should not be confused with evidence that the current scheme is achieving them.</w:t>
      </w:r>
    </w:p>
    <w:p w14:paraId="716D0960" w14:textId="77777777" w:rsidR="00DE5377" w:rsidRPr="00DE5377" w:rsidRDefault="00DE5377" w:rsidP="00DE5377">
      <w:pPr>
        <w:rPr>
          <w:rFonts w:cs="Arial"/>
          <w:szCs w:val="20"/>
        </w:rPr>
      </w:pPr>
      <w:r w:rsidRPr="00DE5377">
        <w:rPr>
          <w:rFonts w:cs="Arial"/>
          <w:szCs w:val="20"/>
        </w:rPr>
        <w:t>ACTCOSS is not aware of publicly available evidence demonstrating that the Code has improved workforce outcomes within the community services sector. Similarly, organisations consulted during preparation of this submission did not identify examples of the Code driving changes in employment practices or workforce outcomes that would otherwise not have occurred.</w:t>
      </w:r>
    </w:p>
    <w:p w14:paraId="46442F06" w14:textId="77777777" w:rsidR="00DE5377" w:rsidRPr="00DE5377" w:rsidRDefault="00DE5377" w:rsidP="00DE5377">
      <w:pPr>
        <w:rPr>
          <w:rFonts w:cs="Arial"/>
          <w:szCs w:val="20"/>
        </w:rPr>
      </w:pPr>
      <w:r w:rsidRPr="00DE5377">
        <w:rPr>
          <w:rFonts w:cs="Arial"/>
          <w:szCs w:val="20"/>
        </w:rPr>
        <w:t>The absence of publicly available evidence is particularly significant given that the legislated review undertaken in 2021 has not been publicly released. Without access to evaluation findings or performance information, stakeholders have limited ability to assess whether the benefits generated by the scheme outweigh the costs imposed on participating organisations.</w:t>
      </w:r>
    </w:p>
    <w:p w14:paraId="7F97A4B5" w14:textId="189BBF83" w:rsidR="007A76A1" w:rsidRPr="007A76A1" w:rsidRDefault="00DE5377" w:rsidP="00DE5377">
      <w:pPr>
        <w:rPr>
          <w:rFonts w:cs="Arial"/>
          <w:szCs w:val="20"/>
        </w:rPr>
      </w:pPr>
      <w:r w:rsidRPr="00DE5377">
        <w:rPr>
          <w:rFonts w:cs="Arial"/>
          <w:szCs w:val="20"/>
        </w:rPr>
        <w:t>ACTCOSS considers the lack of a clear and accessible evidence base to be a significant issue. Regulatory and compliance schemes should be capable of demonstrating the outcomes they achieve, particularly where they impose ongoing costs on government-funded organisations.</w:t>
      </w:r>
    </w:p>
    <w:p w14:paraId="1E1A72D0" w14:textId="74B6E3C4" w:rsidR="00353396" w:rsidRDefault="00F11A15" w:rsidP="007A76A1">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Overlap with existing regulatory and accountability frameworks</w:t>
      </w:r>
    </w:p>
    <w:p w14:paraId="4A1C82D7" w14:textId="7FD3782B" w:rsidR="007C1088" w:rsidRPr="007C1088" w:rsidRDefault="007C1088" w:rsidP="007C1088">
      <w:pPr>
        <w:rPr>
          <w:rFonts w:cs="Arial"/>
          <w:szCs w:val="20"/>
        </w:rPr>
      </w:pPr>
      <w:r w:rsidRPr="007C1088">
        <w:rPr>
          <w:rFonts w:cs="Arial"/>
          <w:szCs w:val="20"/>
        </w:rPr>
        <w:t>Community service organisations already operate within a comprehensive framework of workplace protections and accountability measures. Workers in the sector are protected by the Fair Work Act, enterprise agreements and modern awards, work health and safety requirements, superannuation obligations, anti-discrimination legislation and contractual obligations established through government funding agreements. In many cases, organisations are also subject to regular audits, accreditation processes</w:t>
      </w:r>
      <w:r w:rsidR="0093345B">
        <w:rPr>
          <w:rFonts w:cs="Arial"/>
          <w:szCs w:val="20"/>
        </w:rPr>
        <w:t xml:space="preserve">, ACNC reporting and </w:t>
      </w:r>
      <w:r w:rsidRPr="007C1088">
        <w:rPr>
          <w:rFonts w:cs="Arial"/>
          <w:szCs w:val="20"/>
        </w:rPr>
        <w:t>quality reviews conducted by government agencies and independent regulators.</w:t>
      </w:r>
    </w:p>
    <w:p w14:paraId="42D444C0" w14:textId="25D2C067" w:rsidR="007C1088" w:rsidRPr="007C1088" w:rsidRDefault="007C1088" w:rsidP="007C1088">
      <w:pPr>
        <w:rPr>
          <w:rFonts w:cs="Arial"/>
          <w:szCs w:val="20"/>
        </w:rPr>
      </w:pPr>
      <w:r w:rsidRPr="007C1088">
        <w:rPr>
          <w:rFonts w:cs="Arial"/>
          <w:szCs w:val="20"/>
        </w:rPr>
        <w:t xml:space="preserve">Against this backdrop, ACTCOSS members have questioned the additional value created by Secure Local Jobs Code certification for community services. </w:t>
      </w:r>
      <w:r w:rsidR="00B55FD0" w:rsidRPr="00B55FD0">
        <w:rPr>
          <w:rFonts w:cs="Arial"/>
          <w:szCs w:val="20"/>
        </w:rPr>
        <w:t xml:space="preserve">While assurance regarding workplace compliance is important, the community services sector already operates within a robust system of workforce, governance and regulatory </w:t>
      </w:r>
      <w:r w:rsidR="00B55FD0" w:rsidRPr="00B55FD0">
        <w:rPr>
          <w:rFonts w:cs="Arial"/>
          <w:szCs w:val="20"/>
        </w:rPr>
        <w:lastRenderedPageBreak/>
        <w:t xml:space="preserve">oversight. The Secure Local Jobs Code certification </w:t>
      </w:r>
      <w:r w:rsidR="006A2477">
        <w:rPr>
          <w:rFonts w:cs="Arial"/>
          <w:szCs w:val="20"/>
        </w:rPr>
        <w:t>does not offer meaningful additional assurance or lead to better outcomes</w:t>
      </w:r>
      <w:r w:rsidR="0093345B">
        <w:rPr>
          <w:rFonts w:cs="Arial"/>
          <w:szCs w:val="20"/>
        </w:rPr>
        <w:t xml:space="preserve"> particularly</w:t>
      </w:r>
      <w:r w:rsidR="00B55FD0" w:rsidRPr="00B55FD0">
        <w:rPr>
          <w:rFonts w:cs="Arial"/>
          <w:szCs w:val="20"/>
        </w:rPr>
        <w:t xml:space="preserve"> where organisations are already required to demonstrate compliance across multiple regulatory and accreditation frameworks.</w:t>
      </w:r>
    </w:p>
    <w:p w14:paraId="6B72C0E7" w14:textId="214A144D" w:rsidR="007C1088" w:rsidRDefault="007C1088" w:rsidP="007C1088">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Administrative and compliance impacts</w:t>
      </w:r>
    </w:p>
    <w:p w14:paraId="1F378F3A" w14:textId="77777777" w:rsidR="00A460EC" w:rsidRPr="00A460EC" w:rsidRDefault="00A460EC" w:rsidP="00A460EC">
      <w:pPr>
        <w:rPr>
          <w:rFonts w:cs="Arial"/>
          <w:szCs w:val="20"/>
        </w:rPr>
      </w:pPr>
      <w:r w:rsidRPr="00A460EC">
        <w:rPr>
          <w:rFonts w:cs="Arial"/>
          <w:szCs w:val="20"/>
        </w:rPr>
        <w:t>The most significant issue raised by ACTCOSS members relates to the administrative and compliance burden associated with participation in the Secure Local Jobs Code.</w:t>
      </w:r>
    </w:p>
    <w:p w14:paraId="317E669C" w14:textId="4223224B" w:rsidR="00A460EC" w:rsidRPr="00A460EC" w:rsidRDefault="00A460EC" w:rsidP="00A460EC">
      <w:pPr>
        <w:rPr>
          <w:rFonts w:cs="Arial"/>
          <w:szCs w:val="20"/>
        </w:rPr>
      </w:pPr>
      <w:r w:rsidRPr="00A460EC">
        <w:rPr>
          <w:rFonts w:cs="Arial"/>
          <w:szCs w:val="20"/>
        </w:rPr>
        <w:t xml:space="preserve">Organisations consistently report that participation in the Code requires a significant investment of both staff time and financial resources. Compliance activities extend beyond the certification audit itself and include the preparation and maintenance of documentation, management of renewals, internal compliance monitoring, responses to requests for information, and oversight of subcontractor obligations. Members have also raised concerns regarding the ongoing costs associated with </w:t>
      </w:r>
      <w:proofErr w:type="gramStart"/>
      <w:r w:rsidRPr="00A460EC">
        <w:rPr>
          <w:rFonts w:cs="Arial"/>
          <w:szCs w:val="20"/>
        </w:rPr>
        <w:t>engaging approved</w:t>
      </w:r>
      <w:proofErr w:type="gramEnd"/>
      <w:r w:rsidRPr="00A460EC">
        <w:rPr>
          <w:rFonts w:cs="Arial"/>
          <w:szCs w:val="20"/>
        </w:rPr>
        <w:t xml:space="preserve"> auditors, particularly for organisations that lack dedicated compliance, legal or procurement resources. </w:t>
      </w:r>
    </w:p>
    <w:p w14:paraId="59332D89" w14:textId="77777777" w:rsidR="00A460EC" w:rsidRDefault="00A460EC" w:rsidP="00A460EC">
      <w:pPr>
        <w:rPr>
          <w:rFonts w:cs="Arial"/>
          <w:szCs w:val="20"/>
        </w:rPr>
      </w:pPr>
      <w:r w:rsidRPr="00A460EC">
        <w:rPr>
          <w:rFonts w:cs="Arial"/>
          <w:szCs w:val="20"/>
        </w:rPr>
        <w:t>ACTCOSS remains concerned that a substantial proportion of compliance expenditure associated with the Code is directed towards external auditing and certification processes. While appropriate assurance mechanisms play an important role, community sector organisations are funded to deliver services, strengthen communities and improve outcomes for Canberrans. Expenditure directed towards compliance administration inevitably reduces the resources available for frontline service delivery.</w:t>
      </w:r>
    </w:p>
    <w:p w14:paraId="49CE686C" w14:textId="2DB9C755" w:rsidR="002565CB" w:rsidRPr="002565CB" w:rsidRDefault="002565CB" w:rsidP="002565CB">
      <w:pPr>
        <w:rPr>
          <w:rFonts w:cs="Arial"/>
          <w:szCs w:val="20"/>
        </w:rPr>
      </w:pPr>
      <w:r w:rsidRPr="002565CB">
        <w:rPr>
          <w:rFonts w:cs="Arial"/>
          <w:szCs w:val="20"/>
        </w:rPr>
        <w:t xml:space="preserve">These concerns are not new. In </w:t>
      </w:r>
      <w:hyperlink r:id="rId11" w:history="1">
        <w:r w:rsidRPr="005E1384">
          <w:rPr>
            <w:rStyle w:val="Hyperlink"/>
            <w:rFonts w:cs="Arial"/>
            <w:szCs w:val="20"/>
          </w:rPr>
          <w:t>submissions</w:t>
        </w:r>
      </w:hyperlink>
      <w:r w:rsidRPr="002565CB">
        <w:rPr>
          <w:rFonts w:cs="Arial"/>
          <w:szCs w:val="20"/>
        </w:rPr>
        <w:t xml:space="preserve"> relating to both the introduction of the Code and the 2020 </w:t>
      </w:r>
      <w:r w:rsidR="005E1384">
        <w:rPr>
          <w:rFonts w:cs="Arial"/>
          <w:szCs w:val="20"/>
        </w:rPr>
        <w:t>R</w:t>
      </w:r>
      <w:r w:rsidRPr="002565CB">
        <w:rPr>
          <w:rFonts w:cs="Arial"/>
          <w:szCs w:val="20"/>
        </w:rPr>
        <w:t xml:space="preserve">eview, ACTCOSS highlighted the financial and administrative burden associated with implementation in the community services sector. Feedback received as part of this </w:t>
      </w:r>
      <w:r w:rsidR="00E003EE">
        <w:rPr>
          <w:rFonts w:cs="Arial"/>
          <w:szCs w:val="20"/>
        </w:rPr>
        <w:t>latest consultation opportunity indicates that</w:t>
      </w:r>
      <w:r w:rsidRPr="002565CB">
        <w:rPr>
          <w:rFonts w:cs="Arial"/>
          <w:szCs w:val="20"/>
        </w:rPr>
        <w:t xml:space="preserve"> those concerns remain unresolved, with organisations continuing to absorb certification, audit and compliance costs within existing funding allocations.</w:t>
      </w:r>
    </w:p>
    <w:p w14:paraId="40CFE35B" w14:textId="77777777" w:rsidR="002565CB" w:rsidRDefault="002565CB" w:rsidP="00D11484">
      <w:pPr>
        <w:rPr>
          <w:rFonts w:cs="Arial"/>
          <w:szCs w:val="20"/>
        </w:rPr>
      </w:pPr>
      <w:r w:rsidRPr="002565CB">
        <w:rPr>
          <w:rFonts w:cs="Arial"/>
          <w:szCs w:val="20"/>
        </w:rPr>
        <w:t>These impacts are particularly significant in an environment characterised by increasing demand, workforce shortages and rising operating costs. Members continue to report that resources devoted to certification and audit processes could be more effectively invested in service delivery and workforce development.</w:t>
      </w:r>
    </w:p>
    <w:p w14:paraId="24509340" w14:textId="09E567E8" w:rsidR="00D11484" w:rsidRDefault="004265D1" w:rsidP="00D11484">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Funding drives workforce outcomes</w:t>
      </w:r>
    </w:p>
    <w:p w14:paraId="543F9030" w14:textId="6FDD33F7" w:rsidR="00D11484" w:rsidRPr="00D11484" w:rsidRDefault="00D11484" w:rsidP="00D11484">
      <w:pPr>
        <w:rPr>
          <w:rFonts w:cs="Arial"/>
          <w:szCs w:val="20"/>
        </w:rPr>
      </w:pPr>
      <w:r w:rsidRPr="00D11484">
        <w:rPr>
          <w:rFonts w:cs="Arial"/>
          <w:szCs w:val="20"/>
        </w:rPr>
        <w:t xml:space="preserve">The community services sector shares the objective of promoting secure employment and reducing insecure work. However, the experience of community service organisations </w:t>
      </w:r>
      <w:r w:rsidR="00E003EE">
        <w:rPr>
          <w:rFonts w:cs="Arial"/>
          <w:szCs w:val="20"/>
        </w:rPr>
        <w:t>is</w:t>
      </w:r>
      <w:r w:rsidRPr="00D11484">
        <w:rPr>
          <w:rFonts w:cs="Arial"/>
          <w:szCs w:val="20"/>
        </w:rPr>
        <w:t xml:space="preserve"> that workforce stability is influenced by a broader set of factors than workplace compliance requirements alone.</w:t>
      </w:r>
      <w:r w:rsidR="00C850C0">
        <w:rPr>
          <w:rFonts w:cs="Arial"/>
          <w:szCs w:val="20"/>
        </w:rPr>
        <w:t xml:space="preserve"> Virtually all community organisations understand the value of secure employment, both as a good </w:t>
      </w:r>
      <w:proofErr w:type="gramStart"/>
      <w:r w:rsidR="00C850C0">
        <w:rPr>
          <w:rFonts w:cs="Arial"/>
          <w:szCs w:val="20"/>
        </w:rPr>
        <w:t>in itself and</w:t>
      </w:r>
      <w:proofErr w:type="gramEnd"/>
      <w:r w:rsidR="00C850C0">
        <w:rPr>
          <w:rFonts w:cs="Arial"/>
          <w:szCs w:val="20"/>
        </w:rPr>
        <w:t xml:space="preserve"> </w:t>
      </w:r>
      <w:proofErr w:type="gramStart"/>
      <w:r w:rsidR="00C850C0">
        <w:rPr>
          <w:rFonts w:cs="Arial"/>
          <w:szCs w:val="20"/>
        </w:rPr>
        <w:t>as a means to</w:t>
      </w:r>
      <w:proofErr w:type="gramEnd"/>
      <w:r w:rsidR="00C850C0">
        <w:rPr>
          <w:rFonts w:cs="Arial"/>
          <w:szCs w:val="20"/>
        </w:rPr>
        <w:t xml:space="preserve"> better service delivery. This is especially the case in the community sector, which understands the value of interpersonal relationships</w:t>
      </w:r>
      <w:r w:rsidR="00AC3827">
        <w:rPr>
          <w:rFonts w:cs="Arial"/>
          <w:szCs w:val="20"/>
        </w:rPr>
        <w:t>, including for clients.</w:t>
      </w:r>
    </w:p>
    <w:p w14:paraId="6EE03CF6" w14:textId="41B2BA8E" w:rsidR="00D11484" w:rsidRPr="00D11484" w:rsidRDefault="00D11484" w:rsidP="00D11484">
      <w:pPr>
        <w:rPr>
          <w:rFonts w:cs="Arial"/>
          <w:szCs w:val="20"/>
        </w:rPr>
      </w:pPr>
      <w:proofErr w:type="gramStart"/>
      <w:r w:rsidRPr="00D11484">
        <w:rPr>
          <w:rFonts w:cs="Arial"/>
          <w:szCs w:val="20"/>
        </w:rPr>
        <w:t>In particular, organisations</w:t>
      </w:r>
      <w:proofErr w:type="gramEnd"/>
      <w:r w:rsidRPr="00D11484">
        <w:rPr>
          <w:rFonts w:cs="Arial"/>
          <w:szCs w:val="20"/>
        </w:rPr>
        <w:t xml:space="preserve"> consistently identify funding certainty, adequate indexation and contract duration as key determinants of their ability to offer ongoing employment, retain experienced staff and invest in workforce development. </w:t>
      </w:r>
      <w:r w:rsidR="00AC3827">
        <w:rPr>
          <w:rFonts w:cs="Arial"/>
          <w:szCs w:val="20"/>
        </w:rPr>
        <w:t xml:space="preserve">ACTCOSS gratefully acknowledges ACT Government work to extend some community sector contracts and move the ACT Government Budget forward in June to provide greater funding certainty. More work remains. </w:t>
      </w:r>
      <w:r w:rsidRPr="00D11484">
        <w:rPr>
          <w:rFonts w:cs="Arial"/>
          <w:szCs w:val="20"/>
        </w:rPr>
        <w:t xml:space="preserve">ACTCOSS has previously noted that employment security in community services is undermined when funding agreements are short-term in nature or do not reflect the true cost of delivering services. In these </w:t>
      </w:r>
      <w:r w:rsidRPr="00D11484">
        <w:rPr>
          <w:rFonts w:cs="Arial"/>
          <w:szCs w:val="20"/>
        </w:rPr>
        <w:lastRenderedPageBreak/>
        <w:t>circumstances, organisations may face significant challenges in workforce planning and long-term retention, regardless of their commitment to fair employment practices.</w:t>
      </w:r>
    </w:p>
    <w:p w14:paraId="578D86A1" w14:textId="5A2828CA" w:rsidR="007C1088" w:rsidRPr="007C1088" w:rsidRDefault="00D11484" w:rsidP="00D11484">
      <w:pPr>
        <w:rPr>
          <w:rFonts w:cs="Arial"/>
          <w:szCs w:val="20"/>
        </w:rPr>
      </w:pPr>
      <w:r w:rsidRPr="00D11484">
        <w:rPr>
          <w:rFonts w:cs="Arial"/>
          <w:szCs w:val="20"/>
        </w:rPr>
        <w:t xml:space="preserve">For this reason, ACTCOSS considers that any discussion of employment security in community services should recognise the important role that funding and commissioning arrangements play in shaping workforce outcomes. If improving employment security is the objective, </w:t>
      </w:r>
      <w:r w:rsidR="00FF7A9E">
        <w:rPr>
          <w:rFonts w:cs="Arial"/>
          <w:szCs w:val="20"/>
        </w:rPr>
        <w:t>clarity is required around</w:t>
      </w:r>
      <w:r w:rsidRPr="00D11484">
        <w:rPr>
          <w:rFonts w:cs="Arial"/>
          <w:szCs w:val="20"/>
        </w:rPr>
        <w:t xml:space="preserve"> how funding certainty and sustainability can be strengthened alongside workplace compliance requirements</w:t>
      </w:r>
      <w:r w:rsidR="008A3798">
        <w:rPr>
          <w:rFonts w:cs="Arial"/>
          <w:szCs w:val="20"/>
        </w:rPr>
        <w:t>, toward achieving greater positive</w:t>
      </w:r>
      <w:r w:rsidRPr="00D11484">
        <w:rPr>
          <w:rFonts w:cs="Arial"/>
          <w:szCs w:val="20"/>
        </w:rPr>
        <w:t xml:space="preserve"> impact</w:t>
      </w:r>
      <w:r w:rsidR="008A3798">
        <w:rPr>
          <w:rFonts w:cs="Arial"/>
          <w:szCs w:val="20"/>
        </w:rPr>
        <w:t>s</w:t>
      </w:r>
      <w:r w:rsidRPr="00D11484">
        <w:rPr>
          <w:rFonts w:cs="Arial"/>
          <w:szCs w:val="20"/>
        </w:rPr>
        <w:t xml:space="preserve"> on workforce stability and retention than</w:t>
      </w:r>
      <w:r w:rsidR="008A3798">
        <w:rPr>
          <w:rFonts w:cs="Arial"/>
          <w:szCs w:val="20"/>
        </w:rPr>
        <w:t xml:space="preserve"> through</w:t>
      </w:r>
      <w:r w:rsidRPr="00D11484">
        <w:rPr>
          <w:rFonts w:cs="Arial"/>
          <w:szCs w:val="20"/>
        </w:rPr>
        <w:t xml:space="preserve"> compliance </w:t>
      </w:r>
      <w:r w:rsidR="008A3798">
        <w:rPr>
          <w:rFonts w:cs="Arial"/>
          <w:szCs w:val="20"/>
        </w:rPr>
        <w:t>mechanisms</w:t>
      </w:r>
      <w:r w:rsidRPr="00D11484">
        <w:rPr>
          <w:rFonts w:cs="Arial"/>
          <w:szCs w:val="20"/>
        </w:rPr>
        <w:t xml:space="preserve"> alone.</w:t>
      </w:r>
    </w:p>
    <w:p w14:paraId="0E116A82" w14:textId="751BE624" w:rsidR="00D11484" w:rsidRDefault="009D10E6" w:rsidP="00D11484">
      <w:pPr>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t>Opportunities for reform</w:t>
      </w:r>
    </w:p>
    <w:p w14:paraId="6694C3F9" w14:textId="54464790" w:rsidR="00DA3920" w:rsidRPr="00DA3920" w:rsidRDefault="00DA3920" w:rsidP="00DA3920">
      <w:pPr>
        <w:rPr>
          <w:rFonts w:cs="Arial"/>
          <w:szCs w:val="20"/>
        </w:rPr>
      </w:pPr>
      <w:r w:rsidRPr="00DA3920">
        <w:rPr>
          <w:rFonts w:cs="Arial"/>
          <w:szCs w:val="20"/>
        </w:rPr>
        <w:t>ACTCOSS considers that the most appropriate</w:t>
      </w:r>
      <w:r>
        <w:rPr>
          <w:rFonts w:cs="Arial"/>
          <w:szCs w:val="20"/>
        </w:rPr>
        <w:t xml:space="preserve"> SLJC</w:t>
      </w:r>
      <w:r w:rsidRPr="00DA3920">
        <w:rPr>
          <w:rFonts w:cs="Arial"/>
          <w:szCs w:val="20"/>
        </w:rPr>
        <w:t xml:space="preserve"> reform for the community services sector is exemption from the Code.</w:t>
      </w:r>
    </w:p>
    <w:p w14:paraId="742F0D35" w14:textId="47BAD765" w:rsidR="00DA3920" w:rsidRPr="00DA3920" w:rsidRDefault="00DA3920" w:rsidP="00DA3920">
      <w:pPr>
        <w:rPr>
          <w:rFonts w:cs="Arial"/>
          <w:szCs w:val="20"/>
        </w:rPr>
      </w:pPr>
      <w:r w:rsidRPr="00DA3920">
        <w:rPr>
          <w:rFonts w:cs="Arial"/>
          <w:szCs w:val="20"/>
        </w:rPr>
        <w:t xml:space="preserve">This position reflects </w:t>
      </w:r>
      <w:r w:rsidR="000B210A">
        <w:rPr>
          <w:rFonts w:cs="Arial"/>
          <w:szCs w:val="20"/>
        </w:rPr>
        <w:t>two</w:t>
      </w:r>
      <w:r w:rsidRPr="00DA3920">
        <w:rPr>
          <w:rFonts w:cs="Arial"/>
          <w:szCs w:val="20"/>
        </w:rPr>
        <w:t xml:space="preserve"> key considerations:</w:t>
      </w:r>
    </w:p>
    <w:p w14:paraId="4C1A9DB8" w14:textId="6FA95E46" w:rsidR="00DA3920" w:rsidRPr="00DA3920" w:rsidRDefault="00CD48B5" w:rsidP="00DA3920">
      <w:pPr>
        <w:numPr>
          <w:ilvl w:val="0"/>
          <w:numId w:val="5"/>
        </w:numPr>
        <w:ind w:left="714" w:hanging="357"/>
        <w:contextualSpacing/>
        <w:rPr>
          <w:rFonts w:cs="Arial"/>
          <w:szCs w:val="20"/>
        </w:rPr>
      </w:pPr>
      <w:r>
        <w:rPr>
          <w:rFonts w:cs="Arial"/>
          <w:szCs w:val="20"/>
        </w:rPr>
        <w:t>s</w:t>
      </w:r>
      <w:r w:rsidR="00720B3A">
        <w:rPr>
          <w:rFonts w:cs="Arial"/>
          <w:szCs w:val="20"/>
        </w:rPr>
        <w:t>ector stakeholders do</w:t>
      </w:r>
      <w:r w:rsidR="00DA3920" w:rsidRPr="00DA3920">
        <w:rPr>
          <w:rFonts w:cs="Arial"/>
          <w:szCs w:val="20"/>
        </w:rPr>
        <w:t xml:space="preserve"> not identify a</w:t>
      </w:r>
      <w:r w:rsidR="000B210A">
        <w:rPr>
          <w:rFonts w:cs="Arial"/>
          <w:szCs w:val="20"/>
        </w:rPr>
        <w:t xml:space="preserve">ny benefit </w:t>
      </w:r>
      <w:r w:rsidR="00DA3920" w:rsidRPr="00DA3920">
        <w:rPr>
          <w:rFonts w:cs="Arial"/>
          <w:szCs w:val="20"/>
        </w:rPr>
        <w:t>arising from the Code's application to community services</w:t>
      </w:r>
      <w:r w:rsidR="000B210A">
        <w:rPr>
          <w:rFonts w:cs="Arial"/>
          <w:szCs w:val="20"/>
        </w:rPr>
        <w:t>, either as raised by our members or in publicly available evidence</w:t>
      </w:r>
    </w:p>
    <w:p w14:paraId="5D8A6D5A" w14:textId="4093DBA2" w:rsidR="00570F4B" w:rsidRDefault="00570F4B" w:rsidP="00CD48B5">
      <w:pPr>
        <w:numPr>
          <w:ilvl w:val="0"/>
          <w:numId w:val="5"/>
        </w:numPr>
        <w:ind w:left="714" w:hanging="357"/>
        <w:contextualSpacing/>
        <w:rPr>
          <w:rFonts w:cs="Arial"/>
          <w:szCs w:val="20"/>
        </w:rPr>
      </w:pPr>
      <w:r>
        <w:rPr>
          <w:rFonts w:cs="Arial"/>
          <w:szCs w:val="20"/>
        </w:rPr>
        <w:t>c</w:t>
      </w:r>
      <w:r w:rsidRPr="00570F4B">
        <w:rPr>
          <w:rFonts w:cs="Arial"/>
          <w:szCs w:val="20"/>
        </w:rPr>
        <w:t>ompliance costs and administrative burdens associated with SLJC participation require finite resources to be redirected away from service delivery and towards compliance activities</w:t>
      </w:r>
      <w:r w:rsidR="000B210A">
        <w:rPr>
          <w:rFonts w:cs="Arial"/>
          <w:szCs w:val="20"/>
        </w:rPr>
        <w:t>.</w:t>
      </w:r>
    </w:p>
    <w:p w14:paraId="49F30D9E" w14:textId="77777777" w:rsidR="000B210A" w:rsidRDefault="000B210A" w:rsidP="00C419B6">
      <w:pPr>
        <w:spacing w:before="240"/>
        <w:rPr>
          <w:rFonts w:cs="Arial"/>
          <w:szCs w:val="20"/>
        </w:rPr>
      </w:pPr>
    </w:p>
    <w:p w14:paraId="16768B34" w14:textId="65E62A56" w:rsidR="008C6AC6" w:rsidRPr="00C419B6" w:rsidRDefault="00DA3920" w:rsidP="00C419B6">
      <w:pPr>
        <w:spacing w:before="240"/>
        <w:rPr>
          <w:rFonts w:cs="Arial"/>
          <w:szCs w:val="20"/>
        </w:rPr>
      </w:pPr>
      <w:r w:rsidRPr="00DA3920">
        <w:rPr>
          <w:rFonts w:cs="Arial"/>
          <w:szCs w:val="20"/>
        </w:rPr>
        <w:t>In ACTCOSS's view, maintaining requirements that generate clearly identifiable costs while lacking clearly identifiable benefits is difficult to justify, particularly in a sector delivering essential services within constrained funding environments.</w:t>
      </w:r>
    </w:p>
    <w:p w14:paraId="5C313027" w14:textId="3FD982AA" w:rsidR="00CE22D9" w:rsidRPr="00CE22D9" w:rsidRDefault="00CE22D9" w:rsidP="00CE22D9">
      <w:pPr>
        <w:rPr>
          <w:rFonts w:asciiTheme="majorHAnsi" w:eastAsiaTheme="majorEastAsia" w:hAnsiTheme="majorHAnsi" w:cstheme="majorBidi"/>
          <w:color w:val="2F5496" w:themeColor="accent1" w:themeShade="BF"/>
          <w:sz w:val="26"/>
          <w:szCs w:val="26"/>
        </w:rPr>
      </w:pPr>
      <w:r w:rsidRPr="00CE22D9">
        <w:rPr>
          <w:rFonts w:asciiTheme="majorHAnsi" w:eastAsiaTheme="majorEastAsia" w:hAnsiTheme="majorHAnsi" w:cstheme="majorBidi"/>
          <w:color w:val="2F5496" w:themeColor="accent1" w:themeShade="BF"/>
          <w:sz w:val="26"/>
          <w:szCs w:val="26"/>
        </w:rPr>
        <w:t>Conclusion</w:t>
      </w:r>
    </w:p>
    <w:p w14:paraId="3C7A5F92" w14:textId="1B2540F3" w:rsidR="00CE22D9" w:rsidRPr="00CE22D9" w:rsidRDefault="00CE22D9" w:rsidP="00CE22D9">
      <w:pPr>
        <w:rPr>
          <w:rFonts w:cs="Arial"/>
          <w:szCs w:val="20"/>
        </w:rPr>
      </w:pPr>
      <w:r w:rsidRPr="00CE22D9">
        <w:rPr>
          <w:rFonts w:cs="Arial"/>
          <w:szCs w:val="20"/>
        </w:rPr>
        <w:t xml:space="preserve">The experience of community sector organisations </w:t>
      </w:r>
      <w:r w:rsidR="00641135">
        <w:rPr>
          <w:rFonts w:cs="Arial"/>
          <w:szCs w:val="20"/>
        </w:rPr>
        <w:t>indicates</w:t>
      </w:r>
      <w:r w:rsidRPr="00CE22D9">
        <w:rPr>
          <w:rFonts w:cs="Arial"/>
          <w:szCs w:val="20"/>
        </w:rPr>
        <w:t xml:space="preserve"> that the current Secure Local Jobs Code framework is not well aligned to the operating realities of community services.</w:t>
      </w:r>
      <w:r w:rsidR="00D31007">
        <w:rPr>
          <w:rFonts w:cs="Arial"/>
          <w:szCs w:val="20"/>
        </w:rPr>
        <w:t xml:space="preserve"> </w:t>
      </w:r>
      <w:r w:rsidRPr="00CE22D9">
        <w:rPr>
          <w:rFonts w:cs="Arial"/>
          <w:szCs w:val="20"/>
        </w:rPr>
        <w:t xml:space="preserve">The Code creates significant compliance obligations, duplicates aspects of existing regulatory oversight and imposes costs on organisations operating within finite funding envelopes. </w:t>
      </w:r>
    </w:p>
    <w:p w14:paraId="3DB12574" w14:textId="14093056" w:rsidR="00CE22D9" w:rsidRPr="00CE22D9" w:rsidRDefault="00D31007" w:rsidP="00CE22D9">
      <w:pPr>
        <w:rPr>
          <w:rFonts w:cs="Arial"/>
          <w:szCs w:val="20"/>
        </w:rPr>
      </w:pPr>
      <w:r>
        <w:rPr>
          <w:rFonts w:cs="Arial"/>
          <w:szCs w:val="20"/>
        </w:rPr>
        <w:t>In addition</w:t>
      </w:r>
      <w:r w:rsidR="00CE22D9" w:rsidRPr="00CE22D9">
        <w:rPr>
          <w:rFonts w:cs="Arial"/>
          <w:szCs w:val="20"/>
        </w:rPr>
        <w:t xml:space="preserve">, the principal drivers of employment insecurity in community services extend beyond workplace compliance and are </w:t>
      </w:r>
      <w:r w:rsidR="00D81467">
        <w:rPr>
          <w:rFonts w:cs="Arial"/>
          <w:szCs w:val="20"/>
        </w:rPr>
        <w:t>largely attributabl</w:t>
      </w:r>
      <w:r w:rsidR="00BC3FB8">
        <w:rPr>
          <w:rFonts w:cs="Arial"/>
          <w:szCs w:val="20"/>
        </w:rPr>
        <w:t>e</w:t>
      </w:r>
      <w:r w:rsidR="00CE22D9" w:rsidRPr="00CE22D9">
        <w:rPr>
          <w:rFonts w:cs="Arial"/>
          <w:szCs w:val="20"/>
        </w:rPr>
        <w:t xml:space="preserve"> to funding certainty, contract settings and the adequacy of government investment in services. Addressing these structural issues is likely to have the greatest impact on workforce stability, retention and long-term sector sustainability.</w:t>
      </w:r>
      <w:r w:rsidR="00C24C9D" w:rsidRPr="00CE22D9">
        <w:rPr>
          <w:rFonts w:cs="Arial"/>
          <w:szCs w:val="20"/>
        </w:rPr>
        <w:t xml:space="preserve"> </w:t>
      </w:r>
    </w:p>
    <w:p w14:paraId="43C1A64E" w14:textId="77777777" w:rsidR="009D7599" w:rsidRDefault="009D7599" w:rsidP="00B50635">
      <w:pPr>
        <w:rPr>
          <w:rFonts w:cs="Arial"/>
          <w:szCs w:val="20"/>
        </w:rPr>
      </w:pPr>
      <w:r w:rsidRPr="009D7599">
        <w:rPr>
          <w:rFonts w:cs="Arial"/>
          <w:szCs w:val="20"/>
        </w:rPr>
        <w:t>ACTCOSS therefore recommends that community service organisations be exempted from the Secure Local Jobs Code and that efforts to improve employment security in the sector focus on the factors that organisations consistently identify as most influential: adequate indexation, sustainable funding arrangements and longer-term funding certainty. These measures are likely to deliver more meaningful improvements in workforce stability while allowing community organisations to direct scarce resources towards the services and supports that improve outcomes for vulnerable Canberrans.</w:t>
      </w:r>
    </w:p>
    <w:p w14:paraId="6AC46AD0" w14:textId="39D1E16B" w:rsidR="00A50F02" w:rsidRDefault="00C24C9D" w:rsidP="00B50635">
      <w:pPr>
        <w:rPr>
          <w:rFonts w:cs="Arial"/>
          <w:szCs w:val="20"/>
        </w:rPr>
      </w:pPr>
      <w:r>
        <w:rPr>
          <w:rFonts w:cs="Arial"/>
          <w:szCs w:val="20"/>
        </w:rPr>
        <w:lastRenderedPageBreak/>
        <w:t xml:space="preserve">ACTCOSS </w:t>
      </w:r>
      <w:r w:rsidR="00A50F02">
        <w:rPr>
          <w:rFonts w:cs="Arial"/>
          <w:szCs w:val="20"/>
        </w:rPr>
        <w:t>would</w:t>
      </w:r>
      <w:r w:rsidR="00A50F02" w:rsidRPr="00A50F02">
        <w:rPr>
          <w:rFonts w:cs="Arial"/>
          <w:szCs w:val="20"/>
        </w:rPr>
        <w:t xml:space="preserve"> welcome the opportunity to further discuss the matters raised in this submission and provide any additional information that may assist the inquiry.</w:t>
      </w:r>
    </w:p>
    <w:p w14:paraId="31566DBC" w14:textId="0C428C80" w:rsidR="00B50635" w:rsidRDefault="00B50635" w:rsidP="00B50635">
      <w:pPr>
        <w:rPr>
          <w:rFonts w:eastAsiaTheme="minorHAnsi"/>
          <w:lang w:val="en-US" w:eastAsia="en-US"/>
        </w:rPr>
      </w:pPr>
      <w:r w:rsidRPr="00F00747">
        <w:rPr>
          <w:rFonts w:eastAsiaTheme="minorHAnsi"/>
          <w:lang w:val="en-US" w:eastAsia="en-US"/>
        </w:rPr>
        <w:t>Yours sincerely</w:t>
      </w:r>
    </w:p>
    <w:p w14:paraId="14C8C239" w14:textId="15C73255" w:rsidR="00BC3FB8" w:rsidRDefault="00706B27" w:rsidP="00B50635">
      <w:pPr>
        <w:rPr>
          <w:rFonts w:eastAsiaTheme="minorHAnsi"/>
          <w:lang w:val="en-US" w:eastAsia="en-US"/>
        </w:rPr>
      </w:pPr>
      <w:r>
        <w:rPr>
          <w:rFonts w:eastAsiaTheme="minorHAnsi"/>
          <w:noProof/>
          <w:lang w:val="en-US" w:eastAsia="en-US"/>
        </w:rPr>
        <w:drawing>
          <wp:inline distT="0" distB="0" distL="0" distR="0" wp14:anchorId="15E2AF56" wp14:editId="64AA1026">
            <wp:extent cx="1714286" cy="380952"/>
            <wp:effectExtent l="0" t="0" r="635" b="635"/>
            <wp:docPr id="3958213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21338" name="Picture 395821338"/>
                    <pic:cNvPicPr/>
                  </pic:nvPicPr>
                  <pic:blipFill>
                    <a:blip r:embed="rId12">
                      <a:extLst>
                        <a:ext uri="{28A0092B-C50C-407E-A947-70E740481C1C}">
                          <a14:useLocalDpi xmlns:a14="http://schemas.microsoft.com/office/drawing/2010/main" val="0"/>
                        </a:ext>
                      </a:extLst>
                    </a:blip>
                    <a:stretch>
                      <a:fillRect/>
                    </a:stretch>
                  </pic:blipFill>
                  <pic:spPr>
                    <a:xfrm>
                      <a:off x="0" y="0"/>
                      <a:ext cx="1714286" cy="380952"/>
                    </a:xfrm>
                    <a:prstGeom prst="rect">
                      <a:avLst/>
                    </a:prstGeom>
                  </pic:spPr>
                </pic:pic>
              </a:graphicData>
            </a:graphic>
          </wp:inline>
        </w:drawing>
      </w:r>
    </w:p>
    <w:p w14:paraId="7A915961" w14:textId="77777777" w:rsidR="008C6AC6" w:rsidRPr="00A63609" w:rsidRDefault="008C6AC6" w:rsidP="008C6AC6">
      <w:pPr>
        <w:rPr>
          <w:rFonts w:eastAsiaTheme="minorHAnsi"/>
          <w:i/>
          <w:iCs/>
          <w:color w:val="EE0000"/>
          <w:lang w:val="en-US" w:eastAsia="en-US"/>
        </w:rPr>
      </w:pPr>
      <w:r w:rsidRPr="00BC3FB8">
        <w:rPr>
          <w:rFonts w:eastAsiaTheme="minorHAnsi"/>
          <w:lang w:eastAsia="en-US"/>
        </w:rPr>
        <w:t>Dr Devin Bowles</w:t>
      </w:r>
      <w:r w:rsidRPr="00530A7D">
        <w:rPr>
          <w:rFonts w:eastAsiaTheme="minorHAnsi"/>
          <w:lang w:eastAsia="en-US"/>
        </w:rPr>
        <w:br/>
        <w:t>Chief Executive Officer</w:t>
      </w:r>
      <w:r w:rsidRPr="00530A7D">
        <w:rPr>
          <w:rFonts w:eastAsiaTheme="minorHAnsi"/>
          <w:lang w:eastAsia="en-US"/>
        </w:rPr>
        <w:br/>
        <w:t>ACT Council of Social Service</w:t>
      </w:r>
    </w:p>
    <w:p w14:paraId="7EB44ED5" w14:textId="44E33554" w:rsidR="00A63609" w:rsidRPr="00A63609" w:rsidRDefault="00A63609">
      <w:pPr>
        <w:rPr>
          <w:rFonts w:eastAsiaTheme="minorHAnsi"/>
          <w:i/>
          <w:iCs/>
          <w:color w:val="EE0000"/>
          <w:lang w:val="en-US" w:eastAsia="en-US"/>
        </w:rPr>
      </w:pPr>
    </w:p>
    <w:sectPr w:rsidR="00A63609" w:rsidRPr="00A63609" w:rsidSect="00E57FE6">
      <w:footerReference w:type="default" r:id="rId13"/>
      <w:headerReference w:type="first" r:id="rId14"/>
      <w:pgSz w:w="11900" w:h="16840"/>
      <w:pgMar w:top="2269" w:right="851" w:bottom="2665" w:left="851" w:header="62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C380D" w14:textId="77777777" w:rsidR="007F39B1" w:rsidRDefault="007F39B1" w:rsidP="00B50635">
      <w:pPr>
        <w:spacing w:after="0" w:line="240" w:lineRule="auto"/>
      </w:pPr>
      <w:r>
        <w:separator/>
      </w:r>
    </w:p>
  </w:endnote>
  <w:endnote w:type="continuationSeparator" w:id="0">
    <w:p w14:paraId="2FB39C21" w14:textId="77777777" w:rsidR="007F39B1" w:rsidRDefault="007F39B1" w:rsidP="00B50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Inter">
    <w:altName w:val="Calibri"/>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31371"/>
      <w:docPartObj>
        <w:docPartGallery w:val="Page Numbers (Bottom of Page)"/>
        <w:docPartUnique/>
      </w:docPartObj>
    </w:sdtPr>
    <w:sdtEndPr>
      <w:rPr>
        <w:noProof/>
      </w:rPr>
    </w:sdtEndPr>
    <w:sdtContent>
      <w:p w14:paraId="7E7F3963" w14:textId="4CB6164F" w:rsidR="008C6AC6" w:rsidRDefault="008C6A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BA7301E" w14:textId="77777777" w:rsidR="008C6AC6" w:rsidRDefault="008C6A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B93BD" w14:textId="77777777" w:rsidR="007F39B1" w:rsidRDefault="007F39B1" w:rsidP="00B50635">
      <w:pPr>
        <w:spacing w:after="0" w:line="240" w:lineRule="auto"/>
      </w:pPr>
      <w:r>
        <w:separator/>
      </w:r>
    </w:p>
  </w:footnote>
  <w:footnote w:type="continuationSeparator" w:id="0">
    <w:p w14:paraId="483C28ED" w14:textId="77777777" w:rsidR="007F39B1" w:rsidRDefault="007F39B1" w:rsidP="00B50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929E" w14:textId="77777777" w:rsidR="00064A80" w:rsidRPr="00064A80" w:rsidRDefault="00064A80" w:rsidP="00064A80">
    <w:pPr>
      <w:pStyle w:val="Header"/>
    </w:pPr>
    <w:r>
      <w:rPr>
        <w:noProof/>
      </w:rPr>
      <w:drawing>
        <wp:anchor distT="0" distB="0" distL="114300" distR="114300" simplePos="0" relativeHeight="251658752" behindDoc="0" locked="0" layoutInCell="1" allowOverlap="1" wp14:anchorId="28F3C7B2" wp14:editId="7DB37F9B">
          <wp:simplePos x="0" y="0"/>
          <wp:positionH relativeFrom="column">
            <wp:posOffset>-111760</wp:posOffset>
          </wp:positionH>
          <wp:positionV relativeFrom="page">
            <wp:posOffset>228600</wp:posOffset>
          </wp:positionV>
          <wp:extent cx="1581150" cy="953770"/>
          <wp:effectExtent l="0" t="0" r="0" b="0"/>
          <wp:wrapSquare wrapText="bothSides"/>
          <wp:docPr id="12623188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3997" name="Picture 122333997"/>
                  <pic:cNvPicPr/>
                </pic:nvPicPr>
                <pic:blipFill>
                  <a:blip r:embed="rId1">
                    <a:extLst>
                      <a:ext uri="{28A0092B-C50C-407E-A947-70E740481C1C}">
                        <a14:useLocalDpi xmlns:a14="http://schemas.microsoft.com/office/drawing/2010/main" val="0"/>
                      </a:ext>
                    </a:extLst>
                  </a:blip>
                  <a:stretch>
                    <a:fillRect/>
                  </a:stretch>
                </pic:blipFill>
                <pic:spPr>
                  <a:xfrm>
                    <a:off x="0" y="0"/>
                    <a:ext cx="1581150" cy="9537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E74D5"/>
    <w:multiLevelType w:val="hybridMultilevel"/>
    <w:tmpl w:val="9E1AC3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4C6219D"/>
    <w:multiLevelType w:val="multilevel"/>
    <w:tmpl w:val="91607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B213D9"/>
    <w:multiLevelType w:val="multilevel"/>
    <w:tmpl w:val="41967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3671B6"/>
    <w:multiLevelType w:val="hybridMultilevel"/>
    <w:tmpl w:val="6D165F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9FB6A67"/>
    <w:multiLevelType w:val="hybridMultilevel"/>
    <w:tmpl w:val="6ED8EF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79678561">
    <w:abstractNumId w:val="4"/>
  </w:num>
  <w:num w:numId="2" w16cid:durableId="1044795073">
    <w:abstractNumId w:val="0"/>
  </w:num>
  <w:num w:numId="3" w16cid:durableId="968433827">
    <w:abstractNumId w:val="3"/>
  </w:num>
  <w:num w:numId="4" w16cid:durableId="1908491112">
    <w:abstractNumId w:val="1"/>
  </w:num>
  <w:num w:numId="5" w16cid:durableId="19101164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6A1"/>
    <w:rsid w:val="000056AC"/>
    <w:rsid w:val="00011DB8"/>
    <w:rsid w:val="00014180"/>
    <w:rsid w:val="00014913"/>
    <w:rsid w:val="00036C66"/>
    <w:rsid w:val="00042398"/>
    <w:rsid w:val="00064A80"/>
    <w:rsid w:val="0006572E"/>
    <w:rsid w:val="000A69FE"/>
    <w:rsid w:val="000B210A"/>
    <w:rsid w:val="000E4E59"/>
    <w:rsid w:val="000E6FD0"/>
    <w:rsid w:val="00105E9C"/>
    <w:rsid w:val="00112968"/>
    <w:rsid w:val="00123DF9"/>
    <w:rsid w:val="00146D16"/>
    <w:rsid w:val="0016033A"/>
    <w:rsid w:val="00180B57"/>
    <w:rsid w:val="001A0D2E"/>
    <w:rsid w:val="001B0D65"/>
    <w:rsid w:val="001B5BA3"/>
    <w:rsid w:val="001F5CAD"/>
    <w:rsid w:val="001F67AC"/>
    <w:rsid w:val="0020444C"/>
    <w:rsid w:val="002179FD"/>
    <w:rsid w:val="0023711B"/>
    <w:rsid w:val="002565CB"/>
    <w:rsid w:val="00261CD0"/>
    <w:rsid w:val="00267390"/>
    <w:rsid w:val="00273616"/>
    <w:rsid w:val="002935E1"/>
    <w:rsid w:val="00297AC2"/>
    <w:rsid w:val="002A209F"/>
    <w:rsid w:val="002B622D"/>
    <w:rsid w:val="002C170A"/>
    <w:rsid w:val="002C1FCE"/>
    <w:rsid w:val="00304830"/>
    <w:rsid w:val="003060B4"/>
    <w:rsid w:val="00326939"/>
    <w:rsid w:val="00330A80"/>
    <w:rsid w:val="00342F8C"/>
    <w:rsid w:val="00353396"/>
    <w:rsid w:val="003564EA"/>
    <w:rsid w:val="0037492B"/>
    <w:rsid w:val="00380AF1"/>
    <w:rsid w:val="003B29C8"/>
    <w:rsid w:val="003C5936"/>
    <w:rsid w:val="003E10EE"/>
    <w:rsid w:val="003F46A1"/>
    <w:rsid w:val="003F5B52"/>
    <w:rsid w:val="004265D1"/>
    <w:rsid w:val="0044528B"/>
    <w:rsid w:val="004459FD"/>
    <w:rsid w:val="00453A35"/>
    <w:rsid w:val="00474A8C"/>
    <w:rsid w:val="00486B69"/>
    <w:rsid w:val="004A4BB7"/>
    <w:rsid w:val="004D52DD"/>
    <w:rsid w:val="004E734A"/>
    <w:rsid w:val="004F3D3D"/>
    <w:rsid w:val="00501279"/>
    <w:rsid w:val="00540B4D"/>
    <w:rsid w:val="00561100"/>
    <w:rsid w:val="00564D26"/>
    <w:rsid w:val="00570F4B"/>
    <w:rsid w:val="0057432D"/>
    <w:rsid w:val="005A1198"/>
    <w:rsid w:val="005E1384"/>
    <w:rsid w:val="005E146D"/>
    <w:rsid w:val="005E39DF"/>
    <w:rsid w:val="0061560D"/>
    <w:rsid w:val="00621E13"/>
    <w:rsid w:val="00622F3C"/>
    <w:rsid w:val="00623F84"/>
    <w:rsid w:val="00641135"/>
    <w:rsid w:val="00671759"/>
    <w:rsid w:val="006A2477"/>
    <w:rsid w:val="006A5222"/>
    <w:rsid w:val="00706B27"/>
    <w:rsid w:val="007138D6"/>
    <w:rsid w:val="00720B3A"/>
    <w:rsid w:val="00751627"/>
    <w:rsid w:val="00760136"/>
    <w:rsid w:val="00767D12"/>
    <w:rsid w:val="00771095"/>
    <w:rsid w:val="0077158B"/>
    <w:rsid w:val="00772214"/>
    <w:rsid w:val="007754AF"/>
    <w:rsid w:val="007950F6"/>
    <w:rsid w:val="007A76A1"/>
    <w:rsid w:val="007C1088"/>
    <w:rsid w:val="007F39B1"/>
    <w:rsid w:val="0080087A"/>
    <w:rsid w:val="008139D8"/>
    <w:rsid w:val="00817422"/>
    <w:rsid w:val="00836260"/>
    <w:rsid w:val="00864FEB"/>
    <w:rsid w:val="00877231"/>
    <w:rsid w:val="00881EDF"/>
    <w:rsid w:val="008A3798"/>
    <w:rsid w:val="008C3F0A"/>
    <w:rsid w:val="008C45A5"/>
    <w:rsid w:val="008C47CD"/>
    <w:rsid w:val="008C6AC6"/>
    <w:rsid w:val="008D5153"/>
    <w:rsid w:val="008D5FD7"/>
    <w:rsid w:val="008D6A5E"/>
    <w:rsid w:val="008E117D"/>
    <w:rsid w:val="008F38A0"/>
    <w:rsid w:val="00914737"/>
    <w:rsid w:val="00920AD6"/>
    <w:rsid w:val="0093345B"/>
    <w:rsid w:val="00946360"/>
    <w:rsid w:val="00976191"/>
    <w:rsid w:val="009A4AB5"/>
    <w:rsid w:val="009A706B"/>
    <w:rsid w:val="009B3456"/>
    <w:rsid w:val="009B65C0"/>
    <w:rsid w:val="009C692B"/>
    <w:rsid w:val="009D10E6"/>
    <w:rsid w:val="009D4E62"/>
    <w:rsid w:val="009D7599"/>
    <w:rsid w:val="009E1699"/>
    <w:rsid w:val="009F08D4"/>
    <w:rsid w:val="00A02C0B"/>
    <w:rsid w:val="00A03566"/>
    <w:rsid w:val="00A322AB"/>
    <w:rsid w:val="00A379DA"/>
    <w:rsid w:val="00A42069"/>
    <w:rsid w:val="00A460EC"/>
    <w:rsid w:val="00A50F02"/>
    <w:rsid w:val="00A51FFE"/>
    <w:rsid w:val="00A61E13"/>
    <w:rsid w:val="00A63609"/>
    <w:rsid w:val="00A84EDD"/>
    <w:rsid w:val="00AA15FD"/>
    <w:rsid w:val="00AA24B9"/>
    <w:rsid w:val="00AA45D4"/>
    <w:rsid w:val="00AB6DC3"/>
    <w:rsid w:val="00AC3827"/>
    <w:rsid w:val="00AD7CC8"/>
    <w:rsid w:val="00AE13BF"/>
    <w:rsid w:val="00B20F39"/>
    <w:rsid w:val="00B47A22"/>
    <w:rsid w:val="00B50635"/>
    <w:rsid w:val="00B526F1"/>
    <w:rsid w:val="00B54CF0"/>
    <w:rsid w:val="00B55FD0"/>
    <w:rsid w:val="00B6095F"/>
    <w:rsid w:val="00B77E46"/>
    <w:rsid w:val="00BB6F34"/>
    <w:rsid w:val="00BC3FB8"/>
    <w:rsid w:val="00BC511D"/>
    <w:rsid w:val="00C24C9D"/>
    <w:rsid w:val="00C419B6"/>
    <w:rsid w:val="00C428D4"/>
    <w:rsid w:val="00C658D2"/>
    <w:rsid w:val="00C771AD"/>
    <w:rsid w:val="00C80924"/>
    <w:rsid w:val="00C82F2F"/>
    <w:rsid w:val="00C850C0"/>
    <w:rsid w:val="00CB6F52"/>
    <w:rsid w:val="00CC68B4"/>
    <w:rsid w:val="00CD48B5"/>
    <w:rsid w:val="00CD4B44"/>
    <w:rsid w:val="00CE22D9"/>
    <w:rsid w:val="00CF53FD"/>
    <w:rsid w:val="00D00CE1"/>
    <w:rsid w:val="00D01EF2"/>
    <w:rsid w:val="00D11484"/>
    <w:rsid w:val="00D31007"/>
    <w:rsid w:val="00D33A75"/>
    <w:rsid w:val="00D51AA4"/>
    <w:rsid w:val="00D53E1B"/>
    <w:rsid w:val="00D66910"/>
    <w:rsid w:val="00D75A20"/>
    <w:rsid w:val="00D81467"/>
    <w:rsid w:val="00D87154"/>
    <w:rsid w:val="00D8770F"/>
    <w:rsid w:val="00DA3920"/>
    <w:rsid w:val="00DD2FB6"/>
    <w:rsid w:val="00DE5377"/>
    <w:rsid w:val="00DE6A26"/>
    <w:rsid w:val="00E003EE"/>
    <w:rsid w:val="00E0048F"/>
    <w:rsid w:val="00E33933"/>
    <w:rsid w:val="00E36E1C"/>
    <w:rsid w:val="00E57FE6"/>
    <w:rsid w:val="00E60D43"/>
    <w:rsid w:val="00E63A2C"/>
    <w:rsid w:val="00E67DE9"/>
    <w:rsid w:val="00E7618D"/>
    <w:rsid w:val="00E778B1"/>
    <w:rsid w:val="00E82EA8"/>
    <w:rsid w:val="00E83D33"/>
    <w:rsid w:val="00E92BE4"/>
    <w:rsid w:val="00E93081"/>
    <w:rsid w:val="00EA37B8"/>
    <w:rsid w:val="00EB0560"/>
    <w:rsid w:val="00EB3227"/>
    <w:rsid w:val="00EC60CC"/>
    <w:rsid w:val="00EF3F1E"/>
    <w:rsid w:val="00F018FF"/>
    <w:rsid w:val="00F04AF8"/>
    <w:rsid w:val="00F11A15"/>
    <w:rsid w:val="00F12673"/>
    <w:rsid w:val="00F2187F"/>
    <w:rsid w:val="00F22DD4"/>
    <w:rsid w:val="00F40FC8"/>
    <w:rsid w:val="00F43AC5"/>
    <w:rsid w:val="00F60606"/>
    <w:rsid w:val="00F62D73"/>
    <w:rsid w:val="00F65A47"/>
    <w:rsid w:val="00F73546"/>
    <w:rsid w:val="00F9543D"/>
    <w:rsid w:val="00FA0E8C"/>
    <w:rsid w:val="00FB4EF7"/>
    <w:rsid w:val="00FC2A08"/>
    <w:rsid w:val="00FE0E25"/>
    <w:rsid w:val="00FE52A5"/>
    <w:rsid w:val="00FF2085"/>
    <w:rsid w:val="00FF7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E0AD42"/>
  <w15:chartTrackingRefBased/>
  <w15:docId w15:val="{C07B406E-C714-4A74-98BD-26C3224A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Body CS)"/>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B44"/>
    <w:pPr>
      <w:spacing w:after="200" w:line="276" w:lineRule="auto"/>
    </w:pPr>
    <w:rPr>
      <w:rFonts w:eastAsiaTheme="minorEastAsia" w:cstheme="minorBidi"/>
      <w:color w:val="000000" w:themeColor="text1"/>
      <w:sz w:val="20"/>
      <w:lang w:eastAsia="en-GB"/>
    </w:rPr>
  </w:style>
  <w:style w:type="paragraph" w:styleId="Heading1">
    <w:name w:val="heading 1"/>
    <w:basedOn w:val="Normal"/>
    <w:next w:val="Normal"/>
    <w:link w:val="Heading1Char"/>
    <w:uiPriority w:val="9"/>
    <w:qFormat/>
    <w:rsid w:val="00AA15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A15F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01279"/>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50127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127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0127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0127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0127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127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06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0635"/>
    <w:rPr>
      <w:rFonts w:eastAsiaTheme="minorEastAsia" w:cstheme="minorBidi"/>
      <w:color w:val="000000" w:themeColor="text1"/>
      <w:sz w:val="20"/>
      <w:lang w:eastAsia="en-GB"/>
    </w:rPr>
  </w:style>
  <w:style w:type="paragraph" w:styleId="Footer">
    <w:name w:val="footer"/>
    <w:basedOn w:val="Normal"/>
    <w:link w:val="FooterChar"/>
    <w:uiPriority w:val="99"/>
    <w:unhideWhenUsed/>
    <w:rsid w:val="00B506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0635"/>
    <w:rPr>
      <w:rFonts w:eastAsiaTheme="minorEastAsia" w:cstheme="minorBidi"/>
      <w:color w:val="000000" w:themeColor="text1"/>
      <w:sz w:val="20"/>
      <w:lang w:eastAsia="en-GB"/>
    </w:rPr>
  </w:style>
  <w:style w:type="paragraph" w:customStyle="1" w:styleId="Pa1">
    <w:name w:val="Pa1"/>
    <w:basedOn w:val="Normal"/>
    <w:next w:val="Normal"/>
    <w:uiPriority w:val="99"/>
    <w:rsid w:val="00B50635"/>
    <w:pPr>
      <w:autoSpaceDE w:val="0"/>
      <w:autoSpaceDN w:val="0"/>
      <w:adjustRightInd w:val="0"/>
      <w:spacing w:after="0" w:line="241" w:lineRule="atLeast"/>
    </w:pPr>
    <w:rPr>
      <w:rFonts w:ascii="Inter" w:eastAsiaTheme="minorHAnsi" w:hAnsi="Inter"/>
      <w:color w:val="auto"/>
      <w:sz w:val="24"/>
      <w:lang w:val="en-GB" w:eastAsia="en-US"/>
    </w:rPr>
  </w:style>
  <w:style w:type="character" w:customStyle="1" w:styleId="A1">
    <w:name w:val="A1"/>
    <w:uiPriority w:val="99"/>
    <w:rsid w:val="00B50635"/>
    <w:rPr>
      <w:rFonts w:cs="Inter"/>
      <w:color w:val="211D1E"/>
      <w:sz w:val="17"/>
      <w:szCs w:val="17"/>
    </w:rPr>
  </w:style>
  <w:style w:type="character" w:styleId="PageNumber">
    <w:name w:val="page number"/>
    <w:basedOn w:val="DefaultParagraphFont"/>
    <w:uiPriority w:val="99"/>
    <w:semiHidden/>
    <w:unhideWhenUsed/>
    <w:rsid w:val="00B77E46"/>
  </w:style>
  <w:style w:type="character" w:customStyle="1" w:styleId="Heading2Char">
    <w:name w:val="Heading 2 Char"/>
    <w:basedOn w:val="DefaultParagraphFont"/>
    <w:link w:val="Heading2"/>
    <w:uiPriority w:val="9"/>
    <w:rsid w:val="00AA15FD"/>
    <w:rPr>
      <w:rFonts w:asciiTheme="majorHAnsi" w:eastAsiaTheme="majorEastAsia" w:hAnsiTheme="majorHAnsi" w:cstheme="majorBidi"/>
      <w:color w:val="2F5496" w:themeColor="accent1" w:themeShade="BF"/>
      <w:sz w:val="26"/>
      <w:szCs w:val="26"/>
      <w:lang w:eastAsia="en-GB"/>
    </w:rPr>
  </w:style>
  <w:style w:type="character" w:customStyle="1" w:styleId="Heading1Char">
    <w:name w:val="Heading 1 Char"/>
    <w:basedOn w:val="DefaultParagraphFont"/>
    <w:link w:val="Heading1"/>
    <w:uiPriority w:val="9"/>
    <w:rsid w:val="00AA15FD"/>
    <w:rPr>
      <w:rFonts w:asciiTheme="majorHAnsi" w:eastAsiaTheme="majorEastAsia" w:hAnsiTheme="majorHAnsi" w:cstheme="majorBidi"/>
      <w:color w:val="2F5496" w:themeColor="accent1" w:themeShade="BF"/>
      <w:sz w:val="32"/>
      <w:szCs w:val="32"/>
      <w:lang w:eastAsia="en-GB"/>
    </w:rPr>
  </w:style>
  <w:style w:type="paragraph" w:styleId="ListParagraph">
    <w:name w:val="List Paragraph"/>
    <w:basedOn w:val="Normal"/>
    <w:uiPriority w:val="34"/>
    <w:qFormat/>
    <w:rsid w:val="00AA15FD"/>
    <w:pPr>
      <w:ind w:left="720"/>
      <w:contextualSpacing/>
    </w:pPr>
  </w:style>
  <w:style w:type="character" w:styleId="Hyperlink">
    <w:name w:val="Hyperlink"/>
    <w:basedOn w:val="DefaultParagraphFont"/>
    <w:uiPriority w:val="99"/>
    <w:unhideWhenUsed/>
    <w:rsid w:val="009C692B"/>
    <w:rPr>
      <w:color w:val="0563C1" w:themeColor="hyperlink"/>
      <w:u w:val="single"/>
    </w:rPr>
  </w:style>
  <w:style w:type="character" w:styleId="UnresolvedMention">
    <w:name w:val="Unresolved Mention"/>
    <w:basedOn w:val="DefaultParagraphFont"/>
    <w:uiPriority w:val="99"/>
    <w:semiHidden/>
    <w:unhideWhenUsed/>
    <w:rsid w:val="009C692B"/>
    <w:rPr>
      <w:color w:val="605E5C"/>
      <w:shd w:val="clear" w:color="auto" w:fill="E1DFDD"/>
    </w:rPr>
  </w:style>
  <w:style w:type="table" w:styleId="TableGrid">
    <w:name w:val="Table Grid"/>
    <w:basedOn w:val="TableNormal"/>
    <w:uiPriority w:val="39"/>
    <w:rsid w:val="00D00C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501279"/>
    <w:rPr>
      <w:b/>
      <w:bCs/>
      <w:i/>
      <w:iCs/>
      <w:spacing w:val="5"/>
    </w:rPr>
  </w:style>
  <w:style w:type="paragraph" w:styleId="Caption">
    <w:name w:val="caption"/>
    <w:basedOn w:val="Normal"/>
    <w:next w:val="Normal"/>
    <w:uiPriority w:val="35"/>
    <w:semiHidden/>
    <w:unhideWhenUsed/>
    <w:qFormat/>
    <w:rsid w:val="00501279"/>
    <w:pPr>
      <w:spacing w:line="240" w:lineRule="auto"/>
    </w:pPr>
    <w:rPr>
      <w:i/>
      <w:iCs/>
      <w:color w:val="44546A" w:themeColor="text2"/>
      <w:sz w:val="18"/>
      <w:szCs w:val="18"/>
    </w:rPr>
  </w:style>
  <w:style w:type="character" w:styleId="Emphasis">
    <w:name w:val="Emphasis"/>
    <w:basedOn w:val="DefaultParagraphFont"/>
    <w:uiPriority w:val="20"/>
    <w:qFormat/>
    <w:rsid w:val="00501279"/>
    <w:rPr>
      <w:i/>
      <w:iCs/>
    </w:rPr>
  </w:style>
  <w:style w:type="character" w:customStyle="1" w:styleId="Heading3Char">
    <w:name w:val="Heading 3 Char"/>
    <w:basedOn w:val="DefaultParagraphFont"/>
    <w:link w:val="Heading3"/>
    <w:uiPriority w:val="9"/>
    <w:semiHidden/>
    <w:rsid w:val="00501279"/>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uiPriority w:val="9"/>
    <w:semiHidden/>
    <w:rsid w:val="00501279"/>
    <w:rPr>
      <w:rFonts w:asciiTheme="majorHAnsi" w:eastAsiaTheme="majorEastAsia" w:hAnsiTheme="majorHAnsi" w:cstheme="majorBidi"/>
      <w:i/>
      <w:iCs/>
      <w:color w:val="2F5496" w:themeColor="accent1" w:themeShade="BF"/>
      <w:sz w:val="20"/>
      <w:lang w:eastAsia="en-GB"/>
    </w:rPr>
  </w:style>
  <w:style w:type="character" w:customStyle="1" w:styleId="Heading5Char">
    <w:name w:val="Heading 5 Char"/>
    <w:basedOn w:val="DefaultParagraphFont"/>
    <w:link w:val="Heading5"/>
    <w:uiPriority w:val="9"/>
    <w:semiHidden/>
    <w:rsid w:val="00501279"/>
    <w:rPr>
      <w:rFonts w:asciiTheme="majorHAnsi" w:eastAsiaTheme="majorEastAsia" w:hAnsiTheme="majorHAnsi" w:cstheme="majorBidi"/>
      <w:color w:val="2F5496" w:themeColor="accent1" w:themeShade="BF"/>
      <w:sz w:val="20"/>
      <w:lang w:eastAsia="en-GB"/>
    </w:rPr>
  </w:style>
  <w:style w:type="character" w:customStyle="1" w:styleId="Heading6Char">
    <w:name w:val="Heading 6 Char"/>
    <w:basedOn w:val="DefaultParagraphFont"/>
    <w:link w:val="Heading6"/>
    <w:uiPriority w:val="9"/>
    <w:semiHidden/>
    <w:rsid w:val="00501279"/>
    <w:rPr>
      <w:rFonts w:asciiTheme="majorHAnsi" w:eastAsiaTheme="majorEastAsia" w:hAnsiTheme="majorHAnsi" w:cstheme="majorBidi"/>
      <w:color w:val="1F3763" w:themeColor="accent1" w:themeShade="7F"/>
      <w:sz w:val="20"/>
      <w:lang w:eastAsia="en-GB"/>
    </w:rPr>
  </w:style>
  <w:style w:type="character" w:customStyle="1" w:styleId="Heading7Char">
    <w:name w:val="Heading 7 Char"/>
    <w:basedOn w:val="DefaultParagraphFont"/>
    <w:link w:val="Heading7"/>
    <w:uiPriority w:val="9"/>
    <w:semiHidden/>
    <w:rsid w:val="00501279"/>
    <w:rPr>
      <w:rFonts w:asciiTheme="majorHAnsi" w:eastAsiaTheme="majorEastAsia" w:hAnsiTheme="majorHAnsi" w:cstheme="majorBidi"/>
      <w:i/>
      <w:iCs/>
      <w:color w:val="1F3763" w:themeColor="accent1" w:themeShade="7F"/>
      <w:sz w:val="20"/>
      <w:lang w:eastAsia="en-GB"/>
    </w:rPr>
  </w:style>
  <w:style w:type="character" w:customStyle="1" w:styleId="Heading8Char">
    <w:name w:val="Heading 8 Char"/>
    <w:basedOn w:val="DefaultParagraphFont"/>
    <w:link w:val="Heading8"/>
    <w:uiPriority w:val="9"/>
    <w:semiHidden/>
    <w:rsid w:val="00501279"/>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501279"/>
    <w:rPr>
      <w:rFonts w:asciiTheme="majorHAnsi" w:eastAsiaTheme="majorEastAsia" w:hAnsiTheme="majorHAnsi" w:cstheme="majorBidi"/>
      <w:i/>
      <w:iCs/>
      <w:color w:val="272727" w:themeColor="text1" w:themeTint="D8"/>
      <w:sz w:val="21"/>
      <w:szCs w:val="21"/>
      <w:lang w:eastAsia="en-GB"/>
    </w:rPr>
  </w:style>
  <w:style w:type="character" w:styleId="IntenseEmphasis">
    <w:name w:val="Intense Emphasis"/>
    <w:basedOn w:val="DefaultParagraphFont"/>
    <w:uiPriority w:val="21"/>
    <w:qFormat/>
    <w:rsid w:val="00501279"/>
    <w:rPr>
      <w:i/>
      <w:iCs/>
      <w:color w:val="4472C4" w:themeColor="accent1"/>
    </w:rPr>
  </w:style>
  <w:style w:type="paragraph" w:styleId="IntenseQuote">
    <w:name w:val="Intense Quote"/>
    <w:basedOn w:val="Normal"/>
    <w:next w:val="Normal"/>
    <w:link w:val="IntenseQuoteChar"/>
    <w:uiPriority w:val="30"/>
    <w:qFormat/>
    <w:rsid w:val="0050127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01279"/>
    <w:rPr>
      <w:rFonts w:eastAsiaTheme="minorEastAsia" w:cstheme="minorBidi"/>
      <w:i/>
      <w:iCs/>
      <w:color w:val="4472C4" w:themeColor="accent1"/>
      <w:sz w:val="20"/>
      <w:lang w:eastAsia="en-GB"/>
    </w:rPr>
  </w:style>
  <w:style w:type="character" w:styleId="IntenseReference">
    <w:name w:val="Intense Reference"/>
    <w:basedOn w:val="DefaultParagraphFont"/>
    <w:uiPriority w:val="32"/>
    <w:qFormat/>
    <w:rsid w:val="00501279"/>
    <w:rPr>
      <w:b/>
      <w:bCs/>
      <w:smallCaps/>
      <w:color w:val="4472C4" w:themeColor="accent1"/>
      <w:spacing w:val="5"/>
    </w:rPr>
  </w:style>
  <w:style w:type="paragraph" w:styleId="NoSpacing">
    <w:name w:val="No Spacing"/>
    <w:uiPriority w:val="1"/>
    <w:qFormat/>
    <w:rsid w:val="00501279"/>
    <w:rPr>
      <w:rFonts w:eastAsiaTheme="minorEastAsia" w:cstheme="minorBidi"/>
      <w:color w:val="000000" w:themeColor="text1"/>
      <w:sz w:val="20"/>
      <w:lang w:eastAsia="en-GB"/>
    </w:rPr>
  </w:style>
  <w:style w:type="paragraph" w:styleId="Quote">
    <w:name w:val="Quote"/>
    <w:basedOn w:val="Normal"/>
    <w:next w:val="Normal"/>
    <w:link w:val="QuoteChar"/>
    <w:uiPriority w:val="29"/>
    <w:qFormat/>
    <w:rsid w:val="0050127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1279"/>
    <w:rPr>
      <w:rFonts w:eastAsiaTheme="minorEastAsia" w:cstheme="minorBidi"/>
      <w:i/>
      <w:iCs/>
      <w:color w:val="404040" w:themeColor="text1" w:themeTint="BF"/>
      <w:sz w:val="20"/>
      <w:lang w:eastAsia="en-GB"/>
    </w:rPr>
  </w:style>
  <w:style w:type="character" w:styleId="Strong">
    <w:name w:val="Strong"/>
    <w:basedOn w:val="DefaultParagraphFont"/>
    <w:uiPriority w:val="22"/>
    <w:qFormat/>
    <w:rsid w:val="00501279"/>
    <w:rPr>
      <w:b/>
      <w:bCs/>
    </w:rPr>
  </w:style>
  <w:style w:type="paragraph" w:styleId="Subtitle">
    <w:name w:val="Subtitle"/>
    <w:basedOn w:val="Normal"/>
    <w:next w:val="Normal"/>
    <w:link w:val="SubtitleChar"/>
    <w:uiPriority w:val="11"/>
    <w:qFormat/>
    <w:rsid w:val="00501279"/>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501279"/>
    <w:rPr>
      <w:rFonts w:asciiTheme="minorHAnsi" w:eastAsiaTheme="minorEastAsia" w:hAnsiTheme="minorHAnsi" w:cstheme="minorBidi"/>
      <w:color w:val="5A5A5A" w:themeColor="text1" w:themeTint="A5"/>
      <w:spacing w:val="15"/>
      <w:sz w:val="22"/>
      <w:szCs w:val="22"/>
      <w:lang w:eastAsia="en-GB"/>
    </w:rPr>
  </w:style>
  <w:style w:type="character" w:styleId="SubtleEmphasis">
    <w:name w:val="Subtle Emphasis"/>
    <w:basedOn w:val="DefaultParagraphFont"/>
    <w:uiPriority w:val="19"/>
    <w:qFormat/>
    <w:rsid w:val="00501279"/>
    <w:rPr>
      <w:i/>
      <w:iCs/>
      <w:color w:val="404040" w:themeColor="text1" w:themeTint="BF"/>
    </w:rPr>
  </w:style>
  <w:style w:type="character" w:styleId="SubtleReference">
    <w:name w:val="Subtle Reference"/>
    <w:basedOn w:val="DefaultParagraphFont"/>
    <w:uiPriority w:val="31"/>
    <w:qFormat/>
    <w:rsid w:val="00501279"/>
    <w:rPr>
      <w:smallCaps/>
      <w:color w:val="5A5A5A" w:themeColor="text1" w:themeTint="A5"/>
    </w:rPr>
  </w:style>
  <w:style w:type="paragraph" w:styleId="Title">
    <w:name w:val="Title"/>
    <w:basedOn w:val="Normal"/>
    <w:next w:val="Normal"/>
    <w:link w:val="TitleChar"/>
    <w:uiPriority w:val="10"/>
    <w:qFormat/>
    <w:rsid w:val="00501279"/>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501279"/>
    <w:rPr>
      <w:rFonts w:asciiTheme="majorHAnsi" w:eastAsiaTheme="majorEastAsia" w:hAnsiTheme="majorHAnsi" w:cstheme="majorBidi"/>
      <w:spacing w:val="-10"/>
      <w:kern w:val="28"/>
      <w:sz w:val="56"/>
      <w:szCs w:val="56"/>
      <w:lang w:eastAsia="en-GB"/>
    </w:rPr>
  </w:style>
  <w:style w:type="paragraph" w:styleId="TOCHeading">
    <w:name w:val="TOC Heading"/>
    <w:basedOn w:val="Heading1"/>
    <w:next w:val="Normal"/>
    <w:uiPriority w:val="39"/>
    <w:semiHidden/>
    <w:unhideWhenUsed/>
    <w:qFormat/>
    <w:rsid w:val="00501279"/>
    <w:pPr>
      <w:outlineLvl w:val="9"/>
    </w:pPr>
  </w:style>
  <w:style w:type="paragraph" w:styleId="NormalWeb">
    <w:name w:val="Normal (Web)"/>
    <w:basedOn w:val="Normal"/>
    <w:uiPriority w:val="99"/>
    <w:semiHidden/>
    <w:unhideWhenUsed/>
    <w:rsid w:val="008C3F0A"/>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941801">
      <w:bodyDiv w:val="1"/>
      <w:marLeft w:val="0"/>
      <w:marRight w:val="0"/>
      <w:marTop w:val="0"/>
      <w:marBottom w:val="0"/>
      <w:divBdr>
        <w:top w:val="none" w:sz="0" w:space="0" w:color="auto"/>
        <w:left w:val="none" w:sz="0" w:space="0" w:color="auto"/>
        <w:bottom w:val="none" w:sz="0" w:space="0" w:color="auto"/>
        <w:right w:val="none" w:sz="0" w:space="0" w:color="auto"/>
      </w:divBdr>
    </w:div>
    <w:div w:id="1609384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tcoss.org.au/publication/submission-secure-local-jobs-code-2020-review-2/"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LACommitteePAA@parliament.act.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nelopeDavie\ACT%20Council%20of%20Social%20Service%20Inc\All%20Staff%20Team%20-%20Documents\Comms\02_Procedures\Communications%20templates\ACTCOSS%20-%20Simple%20submission%20template%20with%20guidance%20-%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f2741e4-cc31-428c-aca2-d2da616e4ed0" xsi:nil="true"/>
    <lcf76f155ced4ddcb4097134ff3c332f xmlns="32918964-d11d-4bda-ba04-9b8184f6a173">
      <Terms xmlns="http://schemas.microsoft.com/office/infopath/2007/PartnerControls"/>
    </lcf76f155ced4ddcb4097134ff3c332f>
    <Notes xmlns="32918964-d11d-4bda-ba04-9b8184f6a17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393A2617EF7DB41893826E3ECAAB324" ma:contentTypeVersion="19" ma:contentTypeDescription="Create a new document." ma:contentTypeScope="" ma:versionID="207a0a76795732317f67c1fb11e24226">
  <xsd:schema xmlns:xsd="http://www.w3.org/2001/XMLSchema" xmlns:xs="http://www.w3.org/2001/XMLSchema" xmlns:p="http://schemas.microsoft.com/office/2006/metadata/properties" xmlns:ns2="32918964-d11d-4bda-ba04-9b8184f6a173" xmlns:ns3="ef2741e4-cc31-428c-aca2-d2da616e4ed0" targetNamespace="http://schemas.microsoft.com/office/2006/metadata/properties" ma:root="true" ma:fieldsID="456c63ae06df46f2d755f910819829dc" ns2:_="" ns3:_="">
    <xsd:import namespace="32918964-d11d-4bda-ba04-9b8184f6a173"/>
    <xsd:import namespace="ef2741e4-cc31-428c-aca2-d2da616e4ed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EventHashCode" minOccurs="0"/>
                <xsd:element ref="ns2:MediaServiceGenerationTim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918964-d11d-4bda-ba04-9b8184f6a1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8a2a78-f552-4495-aed7-c4dd8b0f315c"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description="M&amp;E Capacity Building work also under Capability &gt; General &gt; Service Improvement Project" ma:format="Dropdown" ma:internalName="Notes">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2741e4-cc31-428c-aca2-d2da616e4e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dce11ff-cfb9-4907-a91a-c48c341100bf}" ma:internalName="TaxCatchAll" ma:showField="CatchAllData" ma:web="ef2741e4-cc31-428c-aca2-d2da616e4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2FEDA7-97E5-4BAF-9890-6D9B8C22E870}">
  <ds:schemaRefs>
    <ds:schemaRef ds:uri="http://schemas.microsoft.com/sharepoint/v3/contenttype/forms"/>
  </ds:schemaRefs>
</ds:datastoreItem>
</file>

<file path=customXml/itemProps2.xml><?xml version="1.0" encoding="utf-8"?>
<ds:datastoreItem xmlns:ds="http://schemas.openxmlformats.org/officeDocument/2006/customXml" ds:itemID="{5FE9DDA6-19D8-4F63-ADFF-0F2B71BCCE4F}">
  <ds:schemaRefs>
    <ds:schemaRef ds:uri="http://schemas.microsoft.com/office/2006/metadata/properties"/>
    <ds:schemaRef ds:uri="http://schemas.microsoft.com/office/infopath/2007/PartnerControls"/>
    <ds:schemaRef ds:uri="ef2741e4-cc31-428c-aca2-d2da616e4ed0"/>
    <ds:schemaRef ds:uri="32918964-d11d-4bda-ba04-9b8184f6a173"/>
  </ds:schemaRefs>
</ds:datastoreItem>
</file>

<file path=customXml/itemProps3.xml><?xml version="1.0" encoding="utf-8"?>
<ds:datastoreItem xmlns:ds="http://schemas.openxmlformats.org/officeDocument/2006/customXml" ds:itemID="{1C13DB66-67D5-4107-8439-58525EF38B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918964-d11d-4bda-ba04-9b8184f6a173"/>
    <ds:schemaRef ds:uri="ef2741e4-cc31-428c-aca2-d2da616e4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ACTCOSS - Simple submission template with guidance - 2026</Template>
  <TotalTime>22</TotalTime>
  <Pages>6</Pages>
  <Words>2407</Words>
  <Characters>13721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Penelope Davie</dc:creator>
  <cp:keywords/>
  <dc:description/>
  <cp:lastModifiedBy>Devin Bowles</cp:lastModifiedBy>
  <cp:revision>14</cp:revision>
  <dcterms:created xsi:type="dcterms:W3CDTF">2026-09-25T06:48:00Z</dcterms:created>
  <dcterms:modified xsi:type="dcterms:W3CDTF">2026-10-02T02:22:00Z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0x010100A393A2617EF7DB41893826E3ECAAB324</vt:lpwstr>
  </property>
  <property fmtid="{D5CDD505-2E9C-101B-9397-08002B2CF9AE}" pid="3" name="MediaServiceImageTags">
    <vt:lpwstr/>
  </property>
</Properties>
</file>